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1E10" w14:textId="0927AA17" w:rsidR="006D65EC" w:rsidRPr="005B5D9E" w:rsidRDefault="004269C8">
      <w:pPr>
        <w:pStyle w:val="Title"/>
      </w:pPr>
      <w:r w:rsidRPr="005B5D9E">
        <w:t>Currency Requirement for A</w:t>
      </w:r>
      <w:r w:rsidR="00F01E91">
        <w:t>nnual Renewal</w:t>
      </w:r>
    </w:p>
    <w:p w14:paraId="0F70092F" w14:textId="77777777" w:rsidR="006D65EC" w:rsidRPr="005B5D9E" w:rsidRDefault="00E8445E" w:rsidP="005B5D9E">
      <w:pPr>
        <w:pStyle w:val="BodyText"/>
        <w:rPr>
          <w:sz w:val="11"/>
        </w:rPr>
      </w:pPr>
      <w:r>
        <w:pict w14:anchorId="61388DF5">
          <v:rect id="docshape2" o:spid="_x0000_s2051" alt="" style="position:absolute;left:0;text-align:left;margin-left:1in;margin-top:7.95pt;width:468pt;height:2.3pt;z-index:-15728640;mso-wrap-edited:f;mso-width-percent:0;mso-height-percent:0;mso-wrap-distance-left:0;mso-wrap-distance-right:0;mso-position-horizontal-relative:page;mso-width-percent:0;mso-height-percent:0" fillcolor="black" stroked="f">
            <w10:wrap type="topAndBottom" anchorx="page"/>
          </v:rect>
        </w:pict>
      </w:r>
    </w:p>
    <w:p w14:paraId="581CFA7C" w14:textId="5C6125BF" w:rsidR="006D65EC" w:rsidRPr="005B5D9E" w:rsidRDefault="004269C8" w:rsidP="005B5D9E">
      <w:pPr>
        <w:pStyle w:val="BodyText"/>
      </w:pPr>
      <w:r w:rsidRPr="005B5D9E">
        <w:t>8-</w:t>
      </w:r>
      <w:r w:rsidR="00F01E91">
        <w:t>5</w:t>
      </w:r>
      <w:r w:rsidRPr="005B5D9E">
        <w:t>0</w:t>
      </w:r>
    </w:p>
    <w:p w14:paraId="7A205D48" w14:textId="03E65129" w:rsidR="005B5D9E" w:rsidRPr="005B5D9E" w:rsidRDefault="00E8445E" w:rsidP="005B5D9E">
      <w:pPr>
        <w:pStyle w:val="BodyText"/>
        <w:rPr>
          <w:sz w:val="14"/>
        </w:rPr>
      </w:pPr>
      <w:r>
        <w:pict w14:anchorId="22D71512">
          <v:rect id="docshape3" o:spid="_x0000_s2050" alt="" style="position:absolute;left:0;text-align:left;margin-left:1in;margin-top:9.45pt;width:468pt;height:.7pt;z-index:-15728128;mso-wrap-edited:f;mso-width-percent:0;mso-height-percent:0;mso-wrap-distance-left:0;mso-wrap-distance-right:0;mso-position-horizontal-relative:page;mso-width-percent:0;mso-height-percent:0" fillcolor="black" stroked="f">
            <w10:wrap type="topAndBottom" anchorx="page"/>
          </v:rect>
        </w:pict>
      </w:r>
    </w:p>
    <w:tbl>
      <w:tblPr>
        <w:tblStyle w:val="TableGrid"/>
        <w:tblW w:w="5000" w:type="pct"/>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7"/>
        <w:gridCol w:w="7409"/>
      </w:tblGrid>
      <w:tr w:rsidR="005B5D9E" w:rsidRPr="005B5D9E" w14:paraId="3357B946" w14:textId="77777777" w:rsidTr="005B5D9E">
        <w:tc>
          <w:tcPr>
            <w:tcW w:w="2234" w:type="dxa"/>
            <w:tcMar>
              <w:top w:w="57" w:type="dxa"/>
              <w:bottom w:w="57" w:type="dxa"/>
            </w:tcMar>
          </w:tcPr>
          <w:p w14:paraId="249ECC1E" w14:textId="5F81B15D" w:rsidR="005B5D9E" w:rsidRPr="005B5D9E" w:rsidRDefault="005B5D9E" w:rsidP="005B5D9E">
            <w:pPr>
              <w:pStyle w:val="BodyText"/>
              <w:ind w:left="0"/>
            </w:pPr>
            <w:r w:rsidRPr="005B5D9E">
              <w:rPr>
                <w:b/>
              </w:rPr>
              <w:t>Section:</w:t>
            </w:r>
          </w:p>
        </w:tc>
        <w:tc>
          <w:tcPr>
            <w:tcW w:w="8020" w:type="dxa"/>
            <w:tcMar>
              <w:top w:w="57" w:type="dxa"/>
              <w:bottom w:w="57" w:type="dxa"/>
            </w:tcMar>
          </w:tcPr>
          <w:p w14:paraId="7B096AEB" w14:textId="389EA4EA" w:rsidR="005B5D9E" w:rsidRPr="005B5D9E" w:rsidRDefault="005B5D9E" w:rsidP="005B5D9E">
            <w:pPr>
              <w:pStyle w:val="BodyText"/>
              <w:ind w:left="0"/>
            </w:pPr>
            <w:r w:rsidRPr="005B5D9E">
              <w:t>Registration</w:t>
            </w:r>
          </w:p>
        </w:tc>
      </w:tr>
      <w:tr w:rsidR="005B5D9E" w:rsidRPr="005B5D9E" w14:paraId="191CDC8E" w14:textId="77777777" w:rsidTr="005B5D9E">
        <w:tc>
          <w:tcPr>
            <w:tcW w:w="2234" w:type="dxa"/>
            <w:tcMar>
              <w:top w:w="57" w:type="dxa"/>
              <w:bottom w:w="57" w:type="dxa"/>
            </w:tcMar>
          </w:tcPr>
          <w:p w14:paraId="476B8EAB" w14:textId="400C459E" w:rsidR="005B5D9E" w:rsidRPr="005B5D9E" w:rsidRDefault="005B5D9E" w:rsidP="005B5D9E">
            <w:pPr>
              <w:pStyle w:val="BodyText"/>
              <w:ind w:left="0"/>
            </w:pPr>
            <w:r w:rsidRPr="005B5D9E">
              <w:rPr>
                <w:b/>
              </w:rPr>
              <w:t>Applies to:</w:t>
            </w:r>
          </w:p>
        </w:tc>
        <w:tc>
          <w:tcPr>
            <w:tcW w:w="8020" w:type="dxa"/>
            <w:tcMar>
              <w:top w:w="57" w:type="dxa"/>
              <w:bottom w:w="57" w:type="dxa"/>
            </w:tcMar>
          </w:tcPr>
          <w:p w14:paraId="044D009B" w14:textId="5180E28E" w:rsidR="005B5D9E" w:rsidRPr="005B5D9E" w:rsidRDefault="00F01E91" w:rsidP="00F01E91">
            <w:pPr>
              <w:pStyle w:val="BodyText"/>
              <w:ind w:left="0"/>
            </w:pPr>
            <w:r>
              <w:t>Occupational therapists holding a general certificate of registration</w:t>
            </w:r>
          </w:p>
        </w:tc>
      </w:tr>
      <w:tr w:rsidR="005B5D9E" w:rsidRPr="005B5D9E" w14:paraId="5F9DD9E4" w14:textId="77777777" w:rsidTr="005B5D9E">
        <w:tc>
          <w:tcPr>
            <w:tcW w:w="2234" w:type="dxa"/>
            <w:tcMar>
              <w:top w:w="57" w:type="dxa"/>
              <w:bottom w:w="57" w:type="dxa"/>
            </w:tcMar>
          </w:tcPr>
          <w:p w14:paraId="0345E771" w14:textId="0E6B8CF2" w:rsidR="005B5D9E" w:rsidRPr="005B5D9E" w:rsidRDefault="005B5D9E" w:rsidP="005B5D9E">
            <w:pPr>
              <w:pStyle w:val="BodyText"/>
              <w:ind w:left="0"/>
            </w:pPr>
            <w:r w:rsidRPr="005B5D9E">
              <w:rPr>
                <w:b/>
              </w:rPr>
              <w:t>Approved by</w:t>
            </w:r>
            <w:r w:rsidRPr="005B5D9E">
              <w:t>:</w:t>
            </w:r>
          </w:p>
        </w:tc>
        <w:tc>
          <w:tcPr>
            <w:tcW w:w="8020" w:type="dxa"/>
            <w:tcMar>
              <w:top w:w="57" w:type="dxa"/>
              <w:bottom w:w="57" w:type="dxa"/>
            </w:tcMar>
          </w:tcPr>
          <w:p w14:paraId="2BCC81D7" w14:textId="1E2C9B9E" w:rsidR="005B5D9E" w:rsidRPr="005B5D9E" w:rsidRDefault="005B5D9E" w:rsidP="005B5D9E">
            <w:pPr>
              <w:pStyle w:val="BodyText"/>
              <w:ind w:left="0"/>
            </w:pPr>
            <w:r w:rsidRPr="005B5D9E">
              <w:t>Registration Committee</w:t>
            </w:r>
          </w:p>
        </w:tc>
      </w:tr>
      <w:tr w:rsidR="005B5D9E" w:rsidRPr="005B5D9E" w14:paraId="0012E9CA" w14:textId="77777777" w:rsidTr="005B5D9E">
        <w:tc>
          <w:tcPr>
            <w:tcW w:w="2234" w:type="dxa"/>
            <w:tcMar>
              <w:top w:w="57" w:type="dxa"/>
              <w:bottom w:w="57" w:type="dxa"/>
            </w:tcMar>
          </w:tcPr>
          <w:p w14:paraId="45BCE6EE" w14:textId="67A86D22" w:rsidR="005B5D9E" w:rsidRPr="005B5D9E" w:rsidRDefault="005B5D9E" w:rsidP="005B5D9E">
            <w:pPr>
              <w:pStyle w:val="BodyText"/>
              <w:ind w:left="0"/>
            </w:pPr>
            <w:r w:rsidRPr="005B5D9E">
              <w:rPr>
                <w:b/>
              </w:rPr>
              <w:t>Date Established:</w:t>
            </w:r>
          </w:p>
        </w:tc>
        <w:tc>
          <w:tcPr>
            <w:tcW w:w="8020" w:type="dxa"/>
            <w:tcMar>
              <w:top w:w="57" w:type="dxa"/>
              <w:bottom w:w="57" w:type="dxa"/>
            </w:tcMar>
          </w:tcPr>
          <w:p w14:paraId="7AF40FE6" w14:textId="04C8DC1D" w:rsidR="005B5D9E" w:rsidRPr="005B5D9E" w:rsidRDefault="00F01E91" w:rsidP="005B5D9E">
            <w:pPr>
              <w:pStyle w:val="BodyText"/>
              <w:ind w:left="0"/>
            </w:pPr>
            <w:r>
              <w:t>July</w:t>
            </w:r>
            <w:r w:rsidR="005B5D9E" w:rsidRPr="005B5D9E">
              <w:t xml:space="preserve"> 1998</w:t>
            </w:r>
          </w:p>
        </w:tc>
      </w:tr>
      <w:tr w:rsidR="005B5D9E" w:rsidRPr="005B5D9E" w14:paraId="65863052" w14:textId="77777777" w:rsidTr="005B5D9E">
        <w:tc>
          <w:tcPr>
            <w:tcW w:w="2234" w:type="dxa"/>
            <w:tcMar>
              <w:top w:w="57" w:type="dxa"/>
              <w:bottom w:w="57" w:type="dxa"/>
            </w:tcMar>
          </w:tcPr>
          <w:p w14:paraId="709F87FA" w14:textId="30EA7D12" w:rsidR="005B5D9E" w:rsidRPr="005B5D9E" w:rsidRDefault="005B5D9E" w:rsidP="005B5D9E">
            <w:pPr>
              <w:pStyle w:val="BodyText"/>
              <w:ind w:left="0"/>
            </w:pPr>
            <w:r w:rsidRPr="005B5D9E">
              <w:rPr>
                <w:b/>
              </w:rPr>
              <w:t>Date Revised:</w:t>
            </w:r>
          </w:p>
        </w:tc>
        <w:tc>
          <w:tcPr>
            <w:tcW w:w="8020" w:type="dxa"/>
            <w:tcMar>
              <w:top w:w="57" w:type="dxa"/>
              <w:bottom w:w="57" w:type="dxa"/>
            </w:tcMar>
          </w:tcPr>
          <w:p w14:paraId="3330785C" w14:textId="016DCA9C" w:rsidR="005B5D9E" w:rsidRPr="005B5D9E" w:rsidRDefault="00F01E91" w:rsidP="00F01E91">
            <w:pPr>
              <w:pStyle w:val="BodyText"/>
              <w:ind w:left="0"/>
            </w:pPr>
            <w:r>
              <w:t>July 2001, January 2002, March 2003, May 2003, November 2007, October 2011, March 2012, March 2014, September 2021</w:t>
            </w:r>
          </w:p>
        </w:tc>
      </w:tr>
    </w:tbl>
    <w:p w14:paraId="24969023" w14:textId="77777777" w:rsidR="005B5D9E" w:rsidRPr="005B5D9E" w:rsidRDefault="005B5D9E" w:rsidP="005B5D9E">
      <w:pPr>
        <w:pStyle w:val="BodyText"/>
      </w:pPr>
    </w:p>
    <w:p w14:paraId="164284B0" w14:textId="77777777" w:rsidR="006D65EC" w:rsidRPr="005B5D9E" w:rsidRDefault="006D65EC" w:rsidP="001C157E">
      <w:pPr>
        <w:pStyle w:val="BodyText"/>
        <w:ind w:left="0"/>
      </w:pPr>
    </w:p>
    <w:p w14:paraId="10E90146" w14:textId="77777777" w:rsidR="006D65EC" w:rsidRPr="005B5D9E" w:rsidRDefault="004269C8" w:rsidP="001C157E">
      <w:pPr>
        <w:pStyle w:val="Heading1"/>
        <w:ind w:left="0"/>
        <w:rPr>
          <w:spacing w:val="0"/>
        </w:rPr>
      </w:pPr>
      <w:r w:rsidRPr="005B5D9E">
        <w:rPr>
          <w:spacing w:val="0"/>
        </w:rPr>
        <w:t>Purpose</w:t>
      </w:r>
    </w:p>
    <w:p w14:paraId="6ECCB610" w14:textId="24D3EBFE" w:rsidR="006D65EC" w:rsidRPr="005B5D9E" w:rsidRDefault="00A57EB6" w:rsidP="00A57EB6">
      <w:pPr>
        <w:pStyle w:val="BodyText"/>
        <w:spacing w:before="120"/>
        <w:ind w:left="0"/>
      </w:pPr>
      <w:r w:rsidRPr="00A57EB6">
        <w:t>This policy describes how the College oversees the currency requirement for occupational therapists to maintain a general certificate of registration.</w:t>
      </w:r>
    </w:p>
    <w:p w14:paraId="63088502" w14:textId="77777777" w:rsidR="00A57EB6" w:rsidRPr="00A57EB6" w:rsidRDefault="00A57EB6" w:rsidP="001C157E">
      <w:pPr>
        <w:pStyle w:val="Heading1"/>
        <w:ind w:left="0"/>
        <w:rPr>
          <w:spacing w:val="0"/>
          <w:sz w:val="24"/>
          <w:szCs w:val="24"/>
        </w:rPr>
      </w:pPr>
      <w:bookmarkStart w:id="0" w:name="Principles"/>
      <w:bookmarkEnd w:id="0"/>
    </w:p>
    <w:p w14:paraId="3E71800B" w14:textId="02431851" w:rsidR="006D65EC" w:rsidRPr="005B5D9E" w:rsidRDefault="004269C8" w:rsidP="001C157E">
      <w:pPr>
        <w:pStyle w:val="Heading1"/>
        <w:ind w:left="0"/>
        <w:rPr>
          <w:spacing w:val="0"/>
        </w:rPr>
      </w:pPr>
      <w:r w:rsidRPr="005B5D9E">
        <w:rPr>
          <w:spacing w:val="0"/>
        </w:rPr>
        <w:t>Principles</w:t>
      </w:r>
    </w:p>
    <w:p w14:paraId="69D9FB8C" w14:textId="7AFB9A4D" w:rsidR="006D65EC" w:rsidRPr="00A57EB6" w:rsidRDefault="00A57EB6" w:rsidP="00A57EB6">
      <w:pPr>
        <w:pStyle w:val="BodyText"/>
        <w:spacing w:before="120"/>
        <w:ind w:left="0"/>
      </w:pPr>
      <w:r w:rsidRPr="00A57EB6">
        <w:t>Recent practice in their profession is one of the ways that occupational therapists show they possess the current knowledge, skills, and judgment to provide safe, effective, and ethical care.</w:t>
      </w:r>
    </w:p>
    <w:p w14:paraId="4A0306C6" w14:textId="77777777" w:rsidR="00A57EB6" w:rsidRPr="00A57EB6" w:rsidRDefault="00A57EB6" w:rsidP="001C157E">
      <w:pPr>
        <w:pStyle w:val="Heading1"/>
        <w:ind w:left="0"/>
        <w:rPr>
          <w:spacing w:val="0"/>
          <w:sz w:val="22"/>
          <w:szCs w:val="22"/>
        </w:rPr>
      </w:pPr>
      <w:bookmarkStart w:id="1" w:name="Policy"/>
      <w:bookmarkEnd w:id="1"/>
    </w:p>
    <w:p w14:paraId="75F3FF52" w14:textId="5518A39C" w:rsidR="00F10F48" w:rsidRPr="00F10F48" w:rsidRDefault="004269C8" w:rsidP="00663A00">
      <w:pPr>
        <w:pStyle w:val="Heading1"/>
        <w:ind w:left="0"/>
        <w:rPr>
          <w:spacing w:val="0"/>
        </w:rPr>
      </w:pPr>
      <w:r w:rsidRPr="005B5D9E">
        <w:rPr>
          <w:spacing w:val="0"/>
        </w:rPr>
        <w:t>Policy</w:t>
      </w:r>
    </w:p>
    <w:p w14:paraId="2C96DF5B" w14:textId="08499B76" w:rsidR="00F10F48" w:rsidRPr="00F10F48" w:rsidRDefault="00F10F48" w:rsidP="00663A00">
      <w:pPr>
        <w:pStyle w:val="BodyText"/>
        <w:spacing w:before="120"/>
        <w:ind w:left="0"/>
      </w:pPr>
      <w:r w:rsidRPr="00F10F48">
        <w:t xml:space="preserve">At annual renewal, occupational therapists must declare whether they meet the currency requirement. The currency requirement is 600 hours of practice within the scope of the profession in the past three years, or successful completion of a College-approved refresher program in the past 18-months. </w:t>
      </w:r>
    </w:p>
    <w:p w14:paraId="7909CEA5" w14:textId="77777777" w:rsidR="00F10F48" w:rsidRDefault="00F10F48" w:rsidP="00F10F48">
      <w:pPr>
        <w:pStyle w:val="BodyText"/>
        <w:ind w:left="0"/>
      </w:pPr>
    </w:p>
    <w:p w14:paraId="52361980" w14:textId="6604D265" w:rsidR="006D65EC" w:rsidRDefault="00F10F48" w:rsidP="00F10F48">
      <w:pPr>
        <w:pStyle w:val="BodyText"/>
        <w:ind w:left="0"/>
      </w:pPr>
      <w:r w:rsidRPr="00F10F48">
        <w:t>Occupational therapists who do not meet the currency requirement must undergo a review by the Registrar.</w:t>
      </w:r>
    </w:p>
    <w:p w14:paraId="62086A7F" w14:textId="77777777" w:rsidR="00593730" w:rsidRPr="005B5D9E" w:rsidRDefault="00593730" w:rsidP="00F10F48">
      <w:pPr>
        <w:pStyle w:val="BodyText"/>
        <w:ind w:left="0"/>
      </w:pPr>
    </w:p>
    <w:p w14:paraId="007D3758" w14:textId="5F921720" w:rsidR="006D65EC" w:rsidRPr="005B5D9E" w:rsidRDefault="004269C8" w:rsidP="001C157E">
      <w:pPr>
        <w:pStyle w:val="Heading1"/>
        <w:ind w:left="0"/>
        <w:rPr>
          <w:spacing w:val="0"/>
        </w:rPr>
      </w:pPr>
      <w:bookmarkStart w:id="2" w:name="Process_for_declaring_currency"/>
      <w:bookmarkEnd w:id="2"/>
      <w:r w:rsidRPr="005B5D9E">
        <w:rPr>
          <w:spacing w:val="0"/>
        </w:rPr>
        <w:t xml:space="preserve">Process for </w:t>
      </w:r>
      <w:r w:rsidR="009F6311">
        <w:rPr>
          <w:spacing w:val="0"/>
        </w:rPr>
        <w:t xml:space="preserve">the Registrar’s </w:t>
      </w:r>
      <w:r w:rsidR="00CB60C0">
        <w:rPr>
          <w:spacing w:val="0"/>
        </w:rPr>
        <w:t>r</w:t>
      </w:r>
      <w:r w:rsidR="009F6311">
        <w:rPr>
          <w:spacing w:val="0"/>
        </w:rPr>
        <w:t>eview</w:t>
      </w:r>
    </w:p>
    <w:p w14:paraId="34D94561" w14:textId="77777777" w:rsidR="005B5D9E" w:rsidRPr="005B5D9E" w:rsidRDefault="005B5D9E" w:rsidP="001C157E">
      <w:pPr>
        <w:pStyle w:val="BodyText"/>
        <w:ind w:left="0"/>
      </w:pPr>
    </w:p>
    <w:p w14:paraId="43E49C2B" w14:textId="39F8024B" w:rsidR="009F6311" w:rsidRDefault="009F6311" w:rsidP="009F6311">
      <w:pPr>
        <w:pStyle w:val="BodyText"/>
        <w:ind w:left="0"/>
      </w:pPr>
      <w:r w:rsidRPr="009F6311">
        <w:t xml:space="preserve">Occupational therapists who have not met the currency requirement receive a notice from the College asking for detailed information about their practice history. They have 15 days to respond. </w:t>
      </w:r>
    </w:p>
    <w:p w14:paraId="7A7CD9D9" w14:textId="77777777" w:rsidR="009F6311" w:rsidRPr="009F6311" w:rsidRDefault="009F6311" w:rsidP="009F6311">
      <w:pPr>
        <w:pStyle w:val="BodyText"/>
        <w:ind w:left="0"/>
      </w:pPr>
    </w:p>
    <w:p w14:paraId="093F6617" w14:textId="22BE5B89" w:rsidR="006D65EC" w:rsidRDefault="009F6311" w:rsidP="009F6311">
      <w:pPr>
        <w:pStyle w:val="BodyText"/>
        <w:ind w:left="0"/>
      </w:pPr>
      <w:r w:rsidRPr="009F6311">
        <w:t>After reviewing the information submitted by the occupational therapist, the Registrar will make a decision and notify them within 30 days.</w:t>
      </w:r>
    </w:p>
    <w:p w14:paraId="7BCA5A6D" w14:textId="1CFC08A0" w:rsidR="009F6311" w:rsidRDefault="009F6311" w:rsidP="009F6311">
      <w:pPr>
        <w:pStyle w:val="BodyText"/>
        <w:ind w:left="0"/>
      </w:pPr>
    </w:p>
    <w:p w14:paraId="0BE3B3E0" w14:textId="3978525F" w:rsidR="009F6311" w:rsidRDefault="009F6311" w:rsidP="009F6311">
      <w:pPr>
        <w:pStyle w:val="BodyText"/>
        <w:ind w:left="0"/>
      </w:pPr>
    </w:p>
    <w:p w14:paraId="57FCD09D" w14:textId="77777777" w:rsidR="009F6311" w:rsidRPr="005B5D9E" w:rsidRDefault="009F6311" w:rsidP="009F6311">
      <w:pPr>
        <w:pStyle w:val="BodyText"/>
        <w:ind w:left="0"/>
      </w:pPr>
    </w:p>
    <w:p w14:paraId="3ABD946C" w14:textId="77777777" w:rsidR="00CB60C0" w:rsidRPr="00CB60C0" w:rsidRDefault="00CB60C0" w:rsidP="001C157E">
      <w:pPr>
        <w:pStyle w:val="Heading2"/>
        <w:spacing w:before="253"/>
        <w:ind w:left="0"/>
        <w:rPr>
          <w:sz w:val="28"/>
          <w:szCs w:val="28"/>
        </w:rPr>
      </w:pPr>
      <w:bookmarkStart w:id="3" w:name="How_the_College_calculates_practice_hour"/>
      <w:bookmarkStart w:id="4" w:name="What_counts_as_practice_hours"/>
      <w:bookmarkEnd w:id="3"/>
      <w:bookmarkEnd w:id="4"/>
      <w:r w:rsidRPr="00CB60C0">
        <w:rPr>
          <w:sz w:val="28"/>
          <w:szCs w:val="28"/>
        </w:rPr>
        <w:lastRenderedPageBreak/>
        <w:t xml:space="preserve">Decision criteria </w:t>
      </w:r>
    </w:p>
    <w:p w14:paraId="419F8B26" w14:textId="20AA0540" w:rsidR="00CB60C0" w:rsidRPr="005B5D9E" w:rsidRDefault="004269C8" w:rsidP="001C157E">
      <w:pPr>
        <w:pStyle w:val="Heading2"/>
        <w:spacing w:before="253"/>
        <w:ind w:left="0"/>
      </w:pPr>
      <w:r w:rsidRPr="005B5D9E">
        <w:t>What counts as practice hours</w:t>
      </w:r>
    </w:p>
    <w:p w14:paraId="50E33D44" w14:textId="77777777" w:rsidR="006D65EC" w:rsidRPr="005B5D9E" w:rsidRDefault="004269C8" w:rsidP="00CB60C0">
      <w:pPr>
        <w:pStyle w:val="BodyText"/>
        <w:spacing w:before="120"/>
        <w:ind w:left="0"/>
      </w:pPr>
      <w:r w:rsidRPr="005B5D9E">
        <w:t xml:space="preserve">Practice hours may include clinical and/or non-clinical work as outlined in the </w:t>
      </w:r>
      <w:hyperlink r:id="rId7">
        <w:r w:rsidRPr="005B5D9E">
          <w:rPr>
            <w:color w:val="0562C1"/>
            <w:u w:val="single" w:color="0562C1"/>
          </w:rPr>
          <w:t>Essential</w:t>
        </w:r>
      </w:hyperlink>
      <w:r w:rsidRPr="005B5D9E">
        <w:rPr>
          <w:color w:val="0562C1"/>
        </w:rPr>
        <w:t xml:space="preserve"> </w:t>
      </w:r>
      <w:hyperlink r:id="rId8">
        <w:r w:rsidRPr="005B5D9E">
          <w:rPr>
            <w:color w:val="0562C1"/>
            <w:u w:val="single" w:color="0562C1"/>
          </w:rPr>
          <w:t>Competencies of Practice For Occupational Therapists in Canada</w:t>
        </w:r>
      </w:hyperlink>
      <w:r w:rsidRPr="005B5D9E">
        <w:t>.</w:t>
      </w:r>
    </w:p>
    <w:p w14:paraId="38B24AB2" w14:textId="77777777" w:rsidR="006D65EC" w:rsidRPr="005B5D9E" w:rsidRDefault="006D65EC" w:rsidP="001C157E">
      <w:pPr>
        <w:pStyle w:val="BodyText"/>
        <w:ind w:left="0"/>
      </w:pPr>
    </w:p>
    <w:p w14:paraId="249AA3F9" w14:textId="77C70EE4" w:rsidR="006D65EC" w:rsidRDefault="00CB60C0" w:rsidP="001C157E">
      <w:pPr>
        <w:pStyle w:val="BodyText"/>
        <w:ind w:left="0"/>
      </w:pPr>
      <w:r w:rsidRPr="00CB60C0">
        <w:t>The College will consider hours spent in other activities that support continuing competence and the delivery of safe, effective and ethical care. These unpaid professional activity hours (such as professional development or participation in other unpaid professional activities) cannot be more than 25% of the occupational therapists declared hours. However, practice hours and unpaid professional activity hours will only be accepted if they were obtained while the individual held a certificate of registration to practise as an occupational therapist.</w:t>
      </w:r>
    </w:p>
    <w:p w14:paraId="2A933E1C" w14:textId="6DC2869F" w:rsidR="001946C7" w:rsidRDefault="001946C7" w:rsidP="001C157E">
      <w:pPr>
        <w:pStyle w:val="BodyText"/>
        <w:ind w:left="0"/>
      </w:pPr>
    </w:p>
    <w:p w14:paraId="4AAE08A2" w14:textId="0FC87FF9" w:rsidR="001946C7" w:rsidRDefault="001946C7" w:rsidP="001946C7">
      <w:pPr>
        <w:pStyle w:val="Default"/>
        <w:rPr>
          <w:sz w:val="22"/>
          <w:szCs w:val="22"/>
        </w:rPr>
      </w:pPr>
      <w:r>
        <w:rPr>
          <w:b/>
          <w:bCs/>
          <w:sz w:val="22"/>
          <w:szCs w:val="22"/>
        </w:rPr>
        <w:t xml:space="preserve">Occupational therapists who have close to the required practice hours </w:t>
      </w:r>
    </w:p>
    <w:p w14:paraId="372229E9" w14:textId="061ABC14" w:rsidR="001946C7" w:rsidRDefault="001946C7" w:rsidP="003A309C">
      <w:pPr>
        <w:pStyle w:val="Default"/>
        <w:spacing w:before="120"/>
        <w:rPr>
          <w:sz w:val="22"/>
          <w:szCs w:val="22"/>
        </w:rPr>
      </w:pPr>
      <w:r>
        <w:rPr>
          <w:sz w:val="22"/>
          <w:szCs w:val="22"/>
        </w:rPr>
        <w:t xml:space="preserve">If an occupational therapist can show that they are likely to make up their required practice hours within six months of the annual renewal deadline, the Registrar can decide to provide an extension. The Registrar may attach conditions to the extension, for example requiring the occupational therapist to sign an undertaking or requesting confirmation of completed practice hours from their employer. </w:t>
      </w:r>
    </w:p>
    <w:p w14:paraId="0F946FA0" w14:textId="77777777" w:rsidR="001946C7" w:rsidRDefault="001946C7" w:rsidP="001946C7">
      <w:pPr>
        <w:pStyle w:val="Default"/>
        <w:rPr>
          <w:sz w:val="22"/>
          <w:szCs w:val="22"/>
        </w:rPr>
      </w:pPr>
    </w:p>
    <w:p w14:paraId="34AEA284" w14:textId="118DFFA1" w:rsidR="001946C7" w:rsidRDefault="001946C7" w:rsidP="001946C7">
      <w:pPr>
        <w:pStyle w:val="Default"/>
        <w:rPr>
          <w:sz w:val="22"/>
          <w:szCs w:val="22"/>
        </w:rPr>
      </w:pPr>
      <w:r>
        <w:rPr>
          <w:sz w:val="22"/>
          <w:szCs w:val="22"/>
        </w:rPr>
        <w:t xml:space="preserve">After the occupational therapist has obtained the outstanding practice hours, and provided they meet all other conditions of registration, the College will consider the occupational therapist to have met the currency requirement for the renewal period. </w:t>
      </w:r>
    </w:p>
    <w:p w14:paraId="0B8EC687" w14:textId="77777777" w:rsidR="001946C7" w:rsidRDefault="001946C7" w:rsidP="001946C7">
      <w:pPr>
        <w:pStyle w:val="Default"/>
        <w:rPr>
          <w:b/>
          <w:bCs/>
          <w:sz w:val="22"/>
          <w:szCs w:val="22"/>
        </w:rPr>
      </w:pPr>
    </w:p>
    <w:p w14:paraId="2A9D77BF" w14:textId="4C8B0013" w:rsidR="001946C7" w:rsidRDefault="001946C7" w:rsidP="001946C7">
      <w:pPr>
        <w:pStyle w:val="Default"/>
        <w:rPr>
          <w:sz w:val="22"/>
          <w:szCs w:val="22"/>
        </w:rPr>
      </w:pPr>
      <w:r>
        <w:rPr>
          <w:b/>
          <w:bCs/>
          <w:sz w:val="22"/>
          <w:szCs w:val="22"/>
        </w:rPr>
        <w:t xml:space="preserve">Occupational therapists who have two-thirds or more of the required practice hours </w:t>
      </w:r>
    </w:p>
    <w:p w14:paraId="0D345D31" w14:textId="44B48D72" w:rsidR="001946C7" w:rsidRDefault="001946C7" w:rsidP="003A309C">
      <w:pPr>
        <w:pStyle w:val="Default"/>
        <w:spacing w:before="120"/>
        <w:rPr>
          <w:sz w:val="22"/>
          <w:szCs w:val="22"/>
        </w:rPr>
      </w:pPr>
      <w:r>
        <w:rPr>
          <w:sz w:val="22"/>
          <w:szCs w:val="22"/>
        </w:rPr>
        <w:t xml:space="preserve">If an occupational therapist has 400 or more practice hours in the previous three years, but will not have 600 within six months, the Registrar can impose conditions on the occupational therapist’s certificate of registration, such as the following, pursuant to s. 41 of the Registration Regulation: </w:t>
      </w:r>
    </w:p>
    <w:p w14:paraId="207A482B" w14:textId="2CAFB8CA" w:rsidR="001946C7" w:rsidRDefault="001946C7" w:rsidP="003A309C">
      <w:pPr>
        <w:pStyle w:val="Default"/>
        <w:numPr>
          <w:ilvl w:val="0"/>
          <w:numId w:val="6"/>
        </w:numPr>
        <w:spacing w:before="120"/>
        <w:ind w:left="714" w:hanging="357"/>
        <w:rPr>
          <w:sz w:val="22"/>
          <w:szCs w:val="22"/>
        </w:rPr>
      </w:pPr>
      <w:r>
        <w:rPr>
          <w:sz w:val="22"/>
          <w:szCs w:val="22"/>
        </w:rPr>
        <w:t xml:space="preserve">restrict their use of the title occupational therapist to their current job </w:t>
      </w:r>
    </w:p>
    <w:p w14:paraId="0E2F53B2" w14:textId="6C50DAE6" w:rsidR="001946C7" w:rsidRDefault="001946C7" w:rsidP="001946C7">
      <w:pPr>
        <w:pStyle w:val="Default"/>
        <w:numPr>
          <w:ilvl w:val="0"/>
          <w:numId w:val="6"/>
        </w:numPr>
        <w:rPr>
          <w:sz w:val="22"/>
          <w:szCs w:val="22"/>
        </w:rPr>
      </w:pPr>
      <w:r>
        <w:rPr>
          <w:sz w:val="22"/>
          <w:szCs w:val="22"/>
        </w:rPr>
        <w:t xml:space="preserve">require them to complete a refresher program (supervised practice) of 150 hours </w:t>
      </w:r>
    </w:p>
    <w:p w14:paraId="48AA7E5F" w14:textId="74EA8843" w:rsidR="001946C7" w:rsidRDefault="001946C7" w:rsidP="001946C7">
      <w:pPr>
        <w:pStyle w:val="Default"/>
        <w:numPr>
          <w:ilvl w:val="0"/>
          <w:numId w:val="6"/>
        </w:numPr>
        <w:rPr>
          <w:sz w:val="22"/>
          <w:szCs w:val="22"/>
        </w:rPr>
      </w:pPr>
      <w:r>
        <w:rPr>
          <w:sz w:val="22"/>
          <w:szCs w:val="22"/>
        </w:rPr>
        <w:t xml:space="preserve">impose a deadline to complete the program </w:t>
      </w:r>
    </w:p>
    <w:p w14:paraId="4FBEF0E1" w14:textId="647A62F5" w:rsidR="001946C7" w:rsidRDefault="001946C7" w:rsidP="001946C7">
      <w:pPr>
        <w:pStyle w:val="Default"/>
        <w:numPr>
          <w:ilvl w:val="0"/>
          <w:numId w:val="6"/>
        </w:numPr>
        <w:rPr>
          <w:sz w:val="22"/>
          <w:szCs w:val="22"/>
        </w:rPr>
      </w:pPr>
      <w:r>
        <w:rPr>
          <w:sz w:val="22"/>
          <w:szCs w:val="22"/>
        </w:rPr>
        <w:t xml:space="preserve">require submission of a College-approved evaluation form, completed by their supervisor attesting to successful completion of the program. </w:t>
      </w:r>
    </w:p>
    <w:p w14:paraId="6B2BD6EE" w14:textId="77777777" w:rsidR="001946C7" w:rsidRDefault="001946C7" w:rsidP="001946C7">
      <w:pPr>
        <w:pStyle w:val="Default"/>
        <w:rPr>
          <w:sz w:val="22"/>
          <w:szCs w:val="22"/>
        </w:rPr>
      </w:pPr>
    </w:p>
    <w:p w14:paraId="0BE15795" w14:textId="77777777" w:rsidR="001946C7" w:rsidRDefault="001946C7" w:rsidP="001946C7">
      <w:pPr>
        <w:pStyle w:val="Default"/>
        <w:rPr>
          <w:sz w:val="22"/>
          <w:szCs w:val="22"/>
        </w:rPr>
      </w:pPr>
      <w:r>
        <w:rPr>
          <w:sz w:val="22"/>
          <w:szCs w:val="22"/>
        </w:rPr>
        <w:t xml:space="preserve">After meeting the imposed conditions, and provided they meet all other conditions of registration, the College will consider the occupational therapist to have met the currency requirement for the renewal period. </w:t>
      </w:r>
    </w:p>
    <w:p w14:paraId="565FA719" w14:textId="77777777" w:rsidR="001946C7" w:rsidRDefault="001946C7" w:rsidP="001946C7">
      <w:pPr>
        <w:pStyle w:val="Default"/>
        <w:rPr>
          <w:b/>
          <w:bCs/>
          <w:sz w:val="22"/>
          <w:szCs w:val="22"/>
        </w:rPr>
      </w:pPr>
    </w:p>
    <w:p w14:paraId="736555C7" w14:textId="5EAD1BF6" w:rsidR="001946C7" w:rsidRDefault="001946C7" w:rsidP="001946C7">
      <w:pPr>
        <w:pStyle w:val="Default"/>
        <w:rPr>
          <w:sz w:val="22"/>
          <w:szCs w:val="22"/>
        </w:rPr>
      </w:pPr>
      <w:r>
        <w:rPr>
          <w:b/>
          <w:bCs/>
          <w:sz w:val="22"/>
          <w:szCs w:val="22"/>
        </w:rPr>
        <w:t xml:space="preserve">Occupational therapists who have fewer than 400 practice hours </w:t>
      </w:r>
    </w:p>
    <w:p w14:paraId="340AF1A0" w14:textId="4B134329" w:rsidR="001946C7" w:rsidRDefault="001946C7" w:rsidP="003A309C">
      <w:pPr>
        <w:pStyle w:val="Default"/>
        <w:spacing w:before="120"/>
        <w:rPr>
          <w:sz w:val="22"/>
          <w:szCs w:val="22"/>
        </w:rPr>
      </w:pPr>
      <w:r>
        <w:rPr>
          <w:sz w:val="22"/>
          <w:szCs w:val="22"/>
        </w:rPr>
        <w:t xml:space="preserve">If an occupational therapist has less than 400 practice hours in the previous three years, the Registrar can impose conditions on the occupational therapist’s certificate of registration, such as the following pursuant to s. 41 of the Registration Regulation: </w:t>
      </w:r>
    </w:p>
    <w:p w14:paraId="65C61294" w14:textId="79C7ABDA" w:rsidR="001946C7" w:rsidRDefault="001946C7" w:rsidP="003A309C">
      <w:pPr>
        <w:pStyle w:val="Default"/>
        <w:numPr>
          <w:ilvl w:val="0"/>
          <w:numId w:val="6"/>
        </w:numPr>
        <w:spacing w:before="120"/>
        <w:ind w:left="714" w:hanging="357"/>
        <w:rPr>
          <w:sz w:val="22"/>
          <w:szCs w:val="22"/>
        </w:rPr>
      </w:pPr>
      <w:r>
        <w:rPr>
          <w:sz w:val="22"/>
          <w:szCs w:val="22"/>
        </w:rPr>
        <w:t xml:space="preserve">restrict their use of the title occupational therapist to their current job </w:t>
      </w:r>
    </w:p>
    <w:p w14:paraId="46C7899A" w14:textId="77777777" w:rsidR="00A105F1" w:rsidRDefault="001946C7" w:rsidP="001946C7">
      <w:pPr>
        <w:pStyle w:val="Default"/>
        <w:numPr>
          <w:ilvl w:val="0"/>
          <w:numId w:val="6"/>
        </w:numPr>
        <w:rPr>
          <w:sz w:val="22"/>
          <w:szCs w:val="22"/>
        </w:rPr>
      </w:pPr>
      <w:r>
        <w:rPr>
          <w:sz w:val="22"/>
          <w:szCs w:val="22"/>
        </w:rPr>
        <w:t>require them to complete a refresher program (supervised practice) of 300 hours</w:t>
      </w:r>
    </w:p>
    <w:p w14:paraId="5696C76F" w14:textId="1147F13E" w:rsidR="00A105F1" w:rsidRPr="00A105F1" w:rsidRDefault="00A105F1" w:rsidP="00A105F1">
      <w:pPr>
        <w:pStyle w:val="ListParagraph"/>
        <w:widowControl/>
        <w:numPr>
          <w:ilvl w:val="0"/>
          <w:numId w:val="6"/>
        </w:numPr>
        <w:adjustRightInd w:val="0"/>
        <w:rPr>
          <w:rFonts w:ascii="Symbol" w:eastAsiaTheme="minorHAnsi" w:hAnsi="Symbol" w:cs="Symbol"/>
          <w:color w:val="000000"/>
          <w:sz w:val="24"/>
          <w:szCs w:val="24"/>
        </w:rPr>
      </w:pPr>
      <w:r w:rsidRPr="00A105F1">
        <w:rPr>
          <w:rFonts w:eastAsiaTheme="minorHAnsi"/>
          <w:color w:val="000000"/>
        </w:rPr>
        <w:lastRenderedPageBreak/>
        <w:t xml:space="preserve">impose a deadline to complete the program </w:t>
      </w:r>
    </w:p>
    <w:p w14:paraId="716DC3A4" w14:textId="41ECC889" w:rsidR="00A105F1" w:rsidRPr="00A105F1" w:rsidRDefault="00A105F1" w:rsidP="00A105F1">
      <w:pPr>
        <w:pStyle w:val="ListParagraph"/>
        <w:widowControl/>
        <w:numPr>
          <w:ilvl w:val="0"/>
          <w:numId w:val="6"/>
        </w:numPr>
        <w:adjustRightInd w:val="0"/>
        <w:rPr>
          <w:rFonts w:eastAsiaTheme="minorHAnsi"/>
          <w:color w:val="000000"/>
        </w:rPr>
      </w:pPr>
      <w:r w:rsidRPr="00A105F1">
        <w:rPr>
          <w:rFonts w:eastAsiaTheme="minorHAnsi"/>
          <w:color w:val="000000"/>
        </w:rPr>
        <w:t xml:space="preserve">require submission of a College-approved evaluation form, completed by their supervisor attesting to successful completion of the program. </w:t>
      </w:r>
    </w:p>
    <w:p w14:paraId="3283D6A4" w14:textId="77777777" w:rsidR="00A105F1" w:rsidRDefault="00A105F1" w:rsidP="00A105F1">
      <w:pPr>
        <w:pStyle w:val="Default"/>
        <w:ind w:left="360"/>
        <w:rPr>
          <w:sz w:val="22"/>
          <w:szCs w:val="22"/>
        </w:rPr>
      </w:pPr>
    </w:p>
    <w:p w14:paraId="7CA4A3CF" w14:textId="77777777" w:rsidR="00A105F1" w:rsidRDefault="00A105F1" w:rsidP="00A105F1">
      <w:pPr>
        <w:pStyle w:val="Default"/>
        <w:rPr>
          <w:sz w:val="22"/>
          <w:szCs w:val="22"/>
        </w:rPr>
      </w:pPr>
      <w:r>
        <w:rPr>
          <w:sz w:val="22"/>
          <w:szCs w:val="22"/>
        </w:rPr>
        <w:t xml:space="preserve">After meeting the imposed conditions, and provided they meet all other conditions of registration, the College will consider the occupational therapist to have met the currency requirement for the renewal period. </w:t>
      </w:r>
    </w:p>
    <w:p w14:paraId="3DBF40BA" w14:textId="77777777" w:rsidR="00A105F1" w:rsidRDefault="00A105F1" w:rsidP="00A105F1">
      <w:pPr>
        <w:pStyle w:val="Default"/>
        <w:rPr>
          <w:b/>
          <w:bCs/>
          <w:sz w:val="22"/>
          <w:szCs w:val="22"/>
        </w:rPr>
      </w:pPr>
    </w:p>
    <w:p w14:paraId="60E22075" w14:textId="0B43A936" w:rsidR="00A105F1" w:rsidRDefault="00A105F1" w:rsidP="00A105F1">
      <w:pPr>
        <w:pStyle w:val="Default"/>
        <w:rPr>
          <w:b/>
          <w:bCs/>
          <w:sz w:val="22"/>
          <w:szCs w:val="22"/>
        </w:rPr>
      </w:pPr>
      <w:r>
        <w:rPr>
          <w:b/>
          <w:bCs/>
          <w:sz w:val="22"/>
          <w:szCs w:val="22"/>
        </w:rPr>
        <w:t xml:space="preserve">Granting extensions </w:t>
      </w:r>
    </w:p>
    <w:p w14:paraId="08425AE1" w14:textId="7FEDCD18" w:rsidR="00A105F1" w:rsidRDefault="00A105F1" w:rsidP="00A105F1">
      <w:pPr>
        <w:pStyle w:val="Default"/>
        <w:spacing w:before="120"/>
        <w:rPr>
          <w:sz w:val="22"/>
          <w:szCs w:val="22"/>
        </w:rPr>
      </w:pPr>
      <w:r>
        <w:rPr>
          <w:sz w:val="22"/>
          <w:szCs w:val="22"/>
        </w:rPr>
        <w:t xml:space="preserve">If an occupational therapist is unable to meet any deadline imposed by the Registrar, and has valid reasons for the delay, they can write to the Registrar asking for an extension. </w:t>
      </w:r>
    </w:p>
    <w:p w14:paraId="68511FF3" w14:textId="77777777" w:rsidR="00A105F1" w:rsidRDefault="00A105F1" w:rsidP="00A105F1">
      <w:pPr>
        <w:pStyle w:val="Default"/>
        <w:rPr>
          <w:b/>
          <w:bCs/>
          <w:sz w:val="22"/>
          <w:szCs w:val="22"/>
        </w:rPr>
      </w:pPr>
    </w:p>
    <w:p w14:paraId="74A50C34" w14:textId="0DE0134D" w:rsidR="00A105F1" w:rsidRDefault="00A105F1" w:rsidP="00A105F1">
      <w:pPr>
        <w:pStyle w:val="Default"/>
        <w:rPr>
          <w:sz w:val="22"/>
          <w:szCs w:val="22"/>
        </w:rPr>
      </w:pPr>
      <w:r>
        <w:rPr>
          <w:b/>
          <w:bCs/>
          <w:sz w:val="22"/>
          <w:szCs w:val="22"/>
        </w:rPr>
        <w:t>Revoking an OT’s registration certificate</w:t>
      </w:r>
    </w:p>
    <w:p w14:paraId="2CD6F956" w14:textId="77777777" w:rsidR="00A105F1" w:rsidRDefault="00A105F1" w:rsidP="00A105F1">
      <w:pPr>
        <w:pStyle w:val="Default"/>
        <w:spacing w:before="120"/>
        <w:rPr>
          <w:sz w:val="22"/>
          <w:szCs w:val="22"/>
        </w:rPr>
      </w:pPr>
      <w:r>
        <w:rPr>
          <w:sz w:val="22"/>
          <w:szCs w:val="22"/>
        </w:rPr>
        <w:t xml:space="preserve">The Registrar may revoke an occupational therapist’s certificate of registration if they refuse to comply with conditions the Registrar imposed after the review. </w:t>
      </w:r>
    </w:p>
    <w:p w14:paraId="7AC3A78E" w14:textId="4E281ED3" w:rsidR="001946C7" w:rsidRDefault="00A105F1" w:rsidP="00A105F1">
      <w:pPr>
        <w:pStyle w:val="Default"/>
        <w:spacing w:before="120"/>
        <w:rPr>
          <w:sz w:val="22"/>
          <w:szCs w:val="22"/>
        </w:rPr>
      </w:pPr>
      <w:r>
        <w:rPr>
          <w:sz w:val="22"/>
          <w:szCs w:val="22"/>
        </w:rPr>
        <w:t xml:space="preserve">In such cases, the occupational therapist may be required to complete a refresher program to be eligible for a new certificate of registration. </w:t>
      </w:r>
      <w:r w:rsidR="001946C7">
        <w:rPr>
          <w:sz w:val="22"/>
          <w:szCs w:val="22"/>
        </w:rPr>
        <w:t xml:space="preserve"> </w:t>
      </w:r>
    </w:p>
    <w:p w14:paraId="74336289" w14:textId="77777777" w:rsidR="00A105F1" w:rsidRDefault="00A105F1" w:rsidP="00A105F1">
      <w:pPr>
        <w:pStyle w:val="Default"/>
        <w:spacing w:before="120"/>
        <w:rPr>
          <w:sz w:val="22"/>
          <w:szCs w:val="22"/>
        </w:rPr>
      </w:pPr>
    </w:p>
    <w:p w14:paraId="742C43F9" w14:textId="17D238F6" w:rsidR="0081735F" w:rsidRDefault="00A105F1" w:rsidP="00A105F1">
      <w:pPr>
        <w:pStyle w:val="Heading1"/>
        <w:ind w:left="0"/>
        <w:rPr>
          <w:b w:val="0"/>
          <w:bCs w:val="0"/>
          <w:color w:val="000000" w:themeColor="text1"/>
          <w:spacing w:val="0"/>
          <w:sz w:val="22"/>
          <w:szCs w:val="22"/>
        </w:rPr>
      </w:pPr>
      <w:bookmarkStart w:id="5" w:name="Exception_for_Substantial_Equivalency_As"/>
      <w:bookmarkStart w:id="6" w:name="Completing_a_refresher_program"/>
      <w:bookmarkEnd w:id="5"/>
      <w:bookmarkEnd w:id="6"/>
      <w:r>
        <w:rPr>
          <w:spacing w:val="0"/>
        </w:rPr>
        <w:t>Legal requirement</w:t>
      </w:r>
    </w:p>
    <w:p w14:paraId="76DFFD12" w14:textId="798C0C32" w:rsidR="00A105F1" w:rsidRPr="00A105F1" w:rsidRDefault="00E8445E" w:rsidP="00A105F1">
      <w:pPr>
        <w:pStyle w:val="Heading1"/>
        <w:spacing w:before="120"/>
        <w:ind w:left="0"/>
        <w:rPr>
          <w:b w:val="0"/>
          <w:bCs w:val="0"/>
          <w:color w:val="000000" w:themeColor="text1"/>
        </w:rPr>
      </w:pPr>
      <w:hyperlink r:id="rId9" w:history="1">
        <w:r w:rsidR="00A105F1" w:rsidRPr="00A105F1">
          <w:rPr>
            <w:rStyle w:val="Hyperlink"/>
            <w:b w:val="0"/>
            <w:bCs w:val="0"/>
            <w:sz w:val="22"/>
            <w:szCs w:val="22"/>
          </w:rPr>
          <w:t>Ontario Regulation 226/96: General, s. 36.(4),(5) and s. 41 under the Occupational Therapy Act, 1991</w:t>
        </w:r>
      </w:hyperlink>
    </w:p>
    <w:sectPr w:rsidR="00A105F1" w:rsidRPr="00A105F1" w:rsidSect="001C157E">
      <w:headerReference w:type="default" r:id="rId10"/>
      <w:footerReference w:type="default" r:id="rId11"/>
      <w:pgSz w:w="12240" w:h="15840"/>
      <w:pgMar w:top="1440" w:right="1440" w:bottom="1440" w:left="1440" w:header="39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3A9F" w14:textId="77777777" w:rsidR="00AD11B4" w:rsidRDefault="00AD11B4">
      <w:r>
        <w:separator/>
      </w:r>
    </w:p>
  </w:endnote>
  <w:endnote w:type="continuationSeparator" w:id="0">
    <w:p w14:paraId="4029FCDD" w14:textId="77777777" w:rsidR="00AD11B4" w:rsidRDefault="00AD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2176" w14:textId="77777777" w:rsidR="001C157E" w:rsidRPr="00272CA6" w:rsidRDefault="001C157E" w:rsidP="001C157E">
    <w:pPr>
      <w:pStyle w:val="Footer"/>
      <w:rPr>
        <w:sz w:val="18"/>
        <w:szCs w:val="18"/>
      </w:rPr>
    </w:pPr>
    <w:r w:rsidRPr="001C157E">
      <w:rPr>
        <w:color w:val="0072BC"/>
        <w:sz w:val="18"/>
        <w:szCs w:val="18"/>
      </w:rPr>
      <w:t>College of Occupational Therapists of Ontario</w:t>
    </w:r>
    <w:r>
      <w:rPr>
        <w:color w:val="0072BC"/>
        <w:sz w:val="18"/>
        <w:szCs w:val="18"/>
      </w:rPr>
      <w:tab/>
    </w:r>
    <w:r>
      <w:rPr>
        <w:color w:val="0072BC"/>
        <w:sz w:val="18"/>
        <w:szCs w:val="18"/>
      </w:rPr>
      <w:tab/>
    </w:r>
    <w:r w:rsidRPr="000F348F">
      <w:rPr>
        <w:color w:val="0072BC"/>
        <w:sz w:val="18"/>
        <w:szCs w:val="18"/>
      </w:rPr>
      <w:t xml:space="preserve"> </w:t>
    </w:r>
    <w:r w:rsidRPr="00272CA6">
      <w:rPr>
        <w:sz w:val="18"/>
        <w:szCs w:val="18"/>
      </w:rPr>
      <w:t xml:space="preserve">Page </w:t>
    </w:r>
    <w:r w:rsidRPr="00272CA6">
      <w:rPr>
        <w:sz w:val="18"/>
        <w:szCs w:val="18"/>
      </w:rPr>
      <w:fldChar w:fldCharType="begin"/>
    </w:r>
    <w:r w:rsidRPr="00272CA6">
      <w:rPr>
        <w:sz w:val="18"/>
        <w:szCs w:val="18"/>
      </w:rPr>
      <w:instrText xml:space="preserve"> PAGE  \* Arabic  \* MERGEFORMAT </w:instrText>
    </w:r>
    <w:r w:rsidRPr="00272CA6">
      <w:rPr>
        <w:sz w:val="18"/>
        <w:szCs w:val="18"/>
      </w:rPr>
      <w:fldChar w:fldCharType="separate"/>
    </w:r>
    <w:r>
      <w:rPr>
        <w:sz w:val="18"/>
        <w:szCs w:val="18"/>
      </w:rPr>
      <w:t>1</w:t>
    </w:r>
    <w:r w:rsidRPr="00272CA6">
      <w:rPr>
        <w:sz w:val="18"/>
        <w:szCs w:val="18"/>
      </w:rPr>
      <w:fldChar w:fldCharType="end"/>
    </w:r>
    <w:r w:rsidRPr="00272CA6">
      <w:rPr>
        <w:sz w:val="18"/>
        <w:szCs w:val="18"/>
      </w:rPr>
      <w:t xml:space="preserve"> of </w:t>
    </w:r>
    <w:r w:rsidRPr="00272CA6">
      <w:rPr>
        <w:sz w:val="18"/>
        <w:szCs w:val="18"/>
      </w:rPr>
      <w:fldChar w:fldCharType="begin"/>
    </w:r>
    <w:r w:rsidRPr="00272CA6">
      <w:rPr>
        <w:sz w:val="18"/>
        <w:szCs w:val="18"/>
      </w:rPr>
      <w:instrText xml:space="preserve"> NUMPAGES  \* Arabic  \* MERGEFORMAT </w:instrText>
    </w:r>
    <w:r w:rsidRPr="00272CA6">
      <w:rPr>
        <w:sz w:val="18"/>
        <w:szCs w:val="18"/>
      </w:rPr>
      <w:fldChar w:fldCharType="separate"/>
    </w:r>
    <w:r>
      <w:rPr>
        <w:sz w:val="18"/>
        <w:szCs w:val="18"/>
      </w:rPr>
      <w:t>4</w:t>
    </w:r>
    <w:r w:rsidRPr="00272CA6">
      <w:rPr>
        <w:sz w:val="18"/>
        <w:szCs w:val="18"/>
      </w:rPr>
      <w:fldChar w:fldCharType="end"/>
    </w:r>
  </w:p>
  <w:p w14:paraId="1F432BDF" w14:textId="00A6A3D7" w:rsidR="006D65EC" w:rsidRDefault="006D65EC" w:rsidP="001C157E">
    <w:pPr>
      <w:pStyle w:val="BodyText"/>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9E8F1" w14:textId="77777777" w:rsidR="00AD11B4" w:rsidRDefault="00AD11B4">
      <w:r>
        <w:separator/>
      </w:r>
    </w:p>
  </w:footnote>
  <w:footnote w:type="continuationSeparator" w:id="0">
    <w:p w14:paraId="3CC19B46" w14:textId="77777777" w:rsidR="00AD11B4" w:rsidRDefault="00AD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B81" w14:textId="77777777" w:rsidR="001C157E" w:rsidRDefault="001C157E" w:rsidP="001C157E">
    <w:pPr>
      <w:pStyle w:val="Header"/>
      <w:ind w:left="170"/>
    </w:pPr>
    <w:bookmarkStart w:id="7" w:name="_Hlk481569233"/>
    <w:bookmarkStart w:id="8" w:name="_Hlk481569234"/>
    <w:bookmarkStart w:id="9" w:name="_Hlk481569235"/>
    <w:bookmarkStart w:id="10" w:name="_Hlk481569236"/>
    <w:bookmarkStart w:id="11" w:name="_Hlk481568154"/>
    <w:bookmarkStart w:id="12" w:name="_Hlk481568153"/>
    <w:bookmarkStart w:id="13" w:name="_Hlk481568152"/>
    <w:bookmarkStart w:id="14" w:name="_Hlk481568151"/>
    <w:bookmarkStart w:id="15" w:name="_Hlk481568076"/>
    <w:bookmarkStart w:id="16" w:name="_Hlk481568075"/>
    <w:bookmarkStart w:id="17" w:name="_Hlk72336529"/>
    <w:bookmarkStart w:id="18" w:name="_Hlk72336530"/>
    <w:bookmarkStart w:id="19" w:name="_Hlk72336531"/>
    <w:bookmarkStart w:id="20" w:name="_Hlk72336532"/>
    <w:bookmarkStart w:id="21" w:name="_Hlk72336533"/>
    <w:bookmarkStart w:id="22" w:name="_Hlk72336534"/>
  </w:p>
  <w:p w14:paraId="74B04348" w14:textId="58C47A00" w:rsidR="001C157E" w:rsidRPr="001C157E" w:rsidRDefault="001C157E" w:rsidP="001C157E">
    <w:pPr>
      <w:pStyle w:val="Header"/>
      <w:ind w:left="170"/>
    </w:pPr>
    <w:r>
      <w:rPr>
        <w:noProof/>
      </w:rPr>
      <w:drawing>
        <wp:inline distT="0" distB="0" distL="0" distR="0" wp14:anchorId="34CDB83E" wp14:editId="7AB8E7FB">
          <wp:extent cx="3557082" cy="37546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3557082" cy="375469"/>
                  </a:xfrm>
                  <a:prstGeom prst="rect">
                    <a:avLst/>
                  </a:prstGeom>
                </pic:spPr>
              </pic:pic>
            </a:graphicData>
          </a:graphic>
        </wp:inline>
      </w:drawing>
    </w:r>
    <w:r>
      <w:br/>
    </w:r>
    <w:bookmarkEnd w:id="7"/>
    <w:bookmarkEnd w:id="8"/>
    <w:bookmarkEnd w:id="9"/>
    <w:bookmarkEnd w:id="10"/>
  </w:p>
  <w:bookmarkEnd w:id="11"/>
  <w:bookmarkEnd w:id="12"/>
  <w:bookmarkEnd w:id="13"/>
  <w:bookmarkEnd w:id="14"/>
  <w:bookmarkEnd w:id="15"/>
  <w:bookmarkEnd w:id="16"/>
  <w:bookmarkEnd w:id="17"/>
  <w:bookmarkEnd w:id="18"/>
  <w:bookmarkEnd w:id="19"/>
  <w:bookmarkEnd w:id="20"/>
  <w:bookmarkEnd w:id="21"/>
  <w:bookmarkEnd w:id="22"/>
  <w:p w14:paraId="29120EC7" w14:textId="77777777" w:rsidR="001C157E" w:rsidRPr="001C157E" w:rsidRDefault="001C157E" w:rsidP="001C157E">
    <w:pPr>
      <w:pStyle w:val="Header"/>
    </w:pPr>
  </w:p>
  <w:p w14:paraId="6927180A" w14:textId="34883B98" w:rsidR="002415BB" w:rsidRPr="001C157E" w:rsidRDefault="002415BB" w:rsidP="001C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5F56"/>
    <w:multiLevelType w:val="hybridMultilevel"/>
    <w:tmpl w:val="3880D6E0"/>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C4958"/>
    <w:multiLevelType w:val="hybridMultilevel"/>
    <w:tmpl w:val="D144AA9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11CD2"/>
    <w:multiLevelType w:val="hybridMultilevel"/>
    <w:tmpl w:val="B3987B86"/>
    <w:lvl w:ilvl="0" w:tplc="5AD2C586">
      <w:start w:val="1"/>
      <w:numFmt w:val="decimal"/>
      <w:lvlText w:val="%1."/>
      <w:lvlJc w:val="left"/>
      <w:pPr>
        <w:ind w:left="860" w:hanging="360"/>
      </w:pPr>
      <w:rPr>
        <w:rFonts w:ascii="Arial" w:eastAsia="Arial" w:hAnsi="Arial" w:cs="Arial" w:hint="default"/>
        <w:b w:val="0"/>
        <w:bCs w:val="0"/>
        <w:i w:val="0"/>
        <w:iCs w:val="0"/>
        <w:spacing w:val="-1"/>
        <w:w w:val="100"/>
        <w:sz w:val="22"/>
        <w:szCs w:val="22"/>
        <w:lang w:val="en-US" w:eastAsia="en-US" w:bidi="ar-SA"/>
      </w:rPr>
    </w:lvl>
    <w:lvl w:ilvl="1" w:tplc="287ED99E">
      <w:numFmt w:val="bullet"/>
      <w:lvlText w:val="•"/>
      <w:lvlJc w:val="left"/>
      <w:pPr>
        <w:ind w:left="860" w:hanging="361"/>
      </w:pPr>
      <w:rPr>
        <w:rFonts w:ascii="Arial" w:eastAsia="Arial" w:hAnsi="Arial" w:cs="Arial" w:hint="default"/>
        <w:b w:val="0"/>
        <w:bCs w:val="0"/>
        <w:i w:val="0"/>
        <w:iCs w:val="0"/>
        <w:w w:val="131"/>
        <w:sz w:val="22"/>
        <w:szCs w:val="22"/>
        <w:lang w:val="en-US" w:eastAsia="en-US" w:bidi="ar-SA"/>
      </w:rPr>
    </w:lvl>
    <w:lvl w:ilvl="2" w:tplc="3FF85EBC">
      <w:numFmt w:val="bullet"/>
      <w:lvlText w:val="•"/>
      <w:lvlJc w:val="left"/>
      <w:pPr>
        <w:ind w:left="2724" w:hanging="361"/>
      </w:pPr>
      <w:rPr>
        <w:rFonts w:hint="default"/>
        <w:lang w:val="en-US" w:eastAsia="en-US" w:bidi="ar-SA"/>
      </w:rPr>
    </w:lvl>
    <w:lvl w:ilvl="3" w:tplc="D3F27004">
      <w:numFmt w:val="bullet"/>
      <w:lvlText w:val="•"/>
      <w:lvlJc w:val="left"/>
      <w:pPr>
        <w:ind w:left="3656" w:hanging="361"/>
      </w:pPr>
      <w:rPr>
        <w:rFonts w:hint="default"/>
        <w:lang w:val="en-US" w:eastAsia="en-US" w:bidi="ar-SA"/>
      </w:rPr>
    </w:lvl>
    <w:lvl w:ilvl="4" w:tplc="E60A93BA">
      <w:numFmt w:val="bullet"/>
      <w:lvlText w:val="•"/>
      <w:lvlJc w:val="left"/>
      <w:pPr>
        <w:ind w:left="4588" w:hanging="361"/>
      </w:pPr>
      <w:rPr>
        <w:rFonts w:hint="default"/>
        <w:lang w:val="en-US" w:eastAsia="en-US" w:bidi="ar-SA"/>
      </w:rPr>
    </w:lvl>
    <w:lvl w:ilvl="5" w:tplc="BC7A3A8E">
      <w:numFmt w:val="bullet"/>
      <w:lvlText w:val="•"/>
      <w:lvlJc w:val="left"/>
      <w:pPr>
        <w:ind w:left="5520" w:hanging="361"/>
      </w:pPr>
      <w:rPr>
        <w:rFonts w:hint="default"/>
        <w:lang w:val="en-US" w:eastAsia="en-US" w:bidi="ar-SA"/>
      </w:rPr>
    </w:lvl>
    <w:lvl w:ilvl="6" w:tplc="E6E0BA68">
      <w:numFmt w:val="bullet"/>
      <w:lvlText w:val="•"/>
      <w:lvlJc w:val="left"/>
      <w:pPr>
        <w:ind w:left="6452" w:hanging="361"/>
      </w:pPr>
      <w:rPr>
        <w:rFonts w:hint="default"/>
        <w:lang w:val="en-US" w:eastAsia="en-US" w:bidi="ar-SA"/>
      </w:rPr>
    </w:lvl>
    <w:lvl w:ilvl="7" w:tplc="BC989410">
      <w:numFmt w:val="bullet"/>
      <w:lvlText w:val="•"/>
      <w:lvlJc w:val="left"/>
      <w:pPr>
        <w:ind w:left="7384" w:hanging="361"/>
      </w:pPr>
      <w:rPr>
        <w:rFonts w:hint="default"/>
        <w:lang w:val="en-US" w:eastAsia="en-US" w:bidi="ar-SA"/>
      </w:rPr>
    </w:lvl>
    <w:lvl w:ilvl="8" w:tplc="BB38DCCE">
      <w:numFmt w:val="bullet"/>
      <w:lvlText w:val="•"/>
      <w:lvlJc w:val="left"/>
      <w:pPr>
        <w:ind w:left="8316" w:hanging="361"/>
      </w:pPr>
      <w:rPr>
        <w:rFonts w:hint="default"/>
        <w:lang w:val="en-US" w:eastAsia="en-US" w:bidi="ar-SA"/>
      </w:rPr>
    </w:lvl>
  </w:abstractNum>
  <w:abstractNum w:abstractNumId="3" w15:restartNumberingAfterBreak="0">
    <w:nsid w:val="5E7B5BEA"/>
    <w:multiLevelType w:val="hybridMultilevel"/>
    <w:tmpl w:val="E77C2D7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603FC"/>
    <w:multiLevelType w:val="hybridMultilevel"/>
    <w:tmpl w:val="3A2639C2"/>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5683A"/>
    <w:multiLevelType w:val="hybridMultilevel"/>
    <w:tmpl w:val="6F36ECB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9729DD"/>
    <w:multiLevelType w:val="hybridMultilevel"/>
    <w:tmpl w:val="7006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006169">
    <w:abstractNumId w:val="2"/>
  </w:num>
  <w:num w:numId="2" w16cid:durableId="299070467">
    <w:abstractNumId w:val="3"/>
  </w:num>
  <w:num w:numId="3" w16cid:durableId="685600724">
    <w:abstractNumId w:val="4"/>
  </w:num>
  <w:num w:numId="4" w16cid:durableId="1377386019">
    <w:abstractNumId w:val="5"/>
  </w:num>
  <w:num w:numId="5" w16cid:durableId="1325091444">
    <w:abstractNumId w:val="6"/>
  </w:num>
  <w:num w:numId="6" w16cid:durableId="303436983">
    <w:abstractNumId w:val="0"/>
  </w:num>
  <w:num w:numId="7" w16cid:durableId="357705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5EC"/>
    <w:rsid w:val="00124F14"/>
    <w:rsid w:val="001946C7"/>
    <w:rsid w:val="001C157E"/>
    <w:rsid w:val="00240777"/>
    <w:rsid w:val="002415BB"/>
    <w:rsid w:val="003A309C"/>
    <w:rsid w:val="004269C8"/>
    <w:rsid w:val="004F0ADB"/>
    <w:rsid w:val="00593730"/>
    <w:rsid w:val="005B5D9E"/>
    <w:rsid w:val="00603D95"/>
    <w:rsid w:val="00663A00"/>
    <w:rsid w:val="006D65EC"/>
    <w:rsid w:val="00787B5C"/>
    <w:rsid w:val="0081735F"/>
    <w:rsid w:val="008D151C"/>
    <w:rsid w:val="009F6311"/>
    <w:rsid w:val="00A105F1"/>
    <w:rsid w:val="00A57EB6"/>
    <w:rsid w:val="00AD11B4"/>
    <w:rsid w:val="00C37054"/>
    <w:rsid w:val="00C72A0B"/>
    <w:rsid w:val="00CB60C0"/>
    <w:rsid w:val="00E25A93"/>
    <w:rsid w:val="00E8445E"/>
    <w:rsid w:val="00EF0C9D"/>
    <w:rsid w:val="00F01E91"/>
    <w:rsid w:val="00F10F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B2AC60"/>
  <w15:docId w15:val="{1F7CB30B-4E98-4C42-93B0-6B7386DC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415BB"/>
    <w:pPr>
      <w:spacing w:before="92"/>
      <w:ind w:left="140"/>
      <w:outlineLvl w:val="0"/>
    </w:pPr>
    <w:rPr>
      <w:b/>
      <w:bCs/>
      <w:spacing w:val="-2"/>
      <w:sz w:val="28"/>
      <w:szCs w:val="28"/>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D9E"/>
    <w:pPr>
      <w:ind w:left="142"/>
    </w:pPr>
  </w:style>
  <w:style w:type="paragraph" w:styleId="Title">
    <w:name w:val="Title"/>
    <w:basedOn w:val="Normal"/>
    <w:uiPriority w:val="10"/>
    <w:qFormat/>
    <w:pPr>
      <w:spacing w:before="88"/>
      <w:ind w:left="140"/>
    </w:pPr>
    <w:rPr>
      <w:b/>
      <w:bCs/>
      <w:sz w:val="36"/>
      <w:szCs w:val="36"/>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15BB"/>
    <w:pPr>
      <w:tabs>
        <w:tab w:val="center" w:pos="4680"/>
        <w:tab w:val="right" w:pos="9360"/>
      </w:tabs>
    </w:pPr>
  </w:style>
  <w:style w:type="character" w:customStyle="1" w:styleId="HeaderChar">
    <w:name w:val="Header Char"/>
    <w:basedOn w:val="DefaultParagraphFont"/>
    <w:link w:val="Header"/>
    <w:uiPriority w:val="99"/>
    <w:rsid w:val="002415BB"/>
    <w:rPr>
      <w:rFonts w:ascii="Arial" w:eastAsia="Arial" w:hAnsi="Arial" w:cs="Arial"/>
    </w:rPr>
  </w:style>
  <w:style w:type="paragraph" w:styleId="Footer">
    <w:name w:val="footer"/>
    <w:basedOn w:val="Normal"/>
    <w:link w:val="FooterChar"/>
    <w:uiPriority w:val="99"/>
    <w:unhideWhenUsed/>
    <w:rsid w:val="002415BB"/>
    <w:pPr>
      <w:tabs>
        <w:tab w:val="center" w:pos="4680"/>
        <w:tab w:val="right" w:pos="9360"/>
      </w:tabs>
    </w:pPr>
  </w:style>
  <w:style w:type="character" w:customStyle="1" w:styleId="FooterChar">
    <w:name w:val="Footer Char"/>
    <w:basedOn w:val="DefaultParagraphFont"/>
    <w:link w:val="Footer"/>
    <w:uiPriority w:val="99"/>
    <w:rsid w:val="002415BB"/>
    <w:rPr>
      <w:rFonts w:ascii="Arial" w:eastAsia="Arial" w:hAnsi="Arial" w:cs="Arial"/>
    </w:rPr>
  </w:style>
  <w:style w:type="table" w:styleId="TableGrid">
    <w:name w:val="Table Grid"/>
    <w:basedOn w:val="TableNormal"/>
    <w:uiPriority w:val="39"/>
    <w:rsid w:val="005B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F14"/>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105F1"/>
    <w:rPr>
      <w:color w:val="0000FF" w:themeColor="hyperlink"/>
      <w:u w:val="single"/>
    </w:rPr>
  </w:style>
  <w:style w:type="character" w:styleId="UnresolvedMention">
    <w:name w:val="Unresolved Mention"/>
    <w:basedOn w:val="DefaultParagraphFont"/>
    <w:uiPriority w:val="99"/>
    <w:semiHidden/>
    <w:unhideWhenUsed/>
    <w:rsid w:val="00A105F1"/>
    <w:rPr>
      <w:color w:val="605E5C"/>
      <w:shd w:val="clear" w:color="auto" w:fill="E1DFDD"/>
    </w:rPr>
  </w:style>
  <w:style w:type="character" w:styleId="FollowedHyperlink">
    <w:name w:val="FollowedHyperlink"/>
    <w:basedOn w:val="DefaultParagraphFont"/>
    <w:uiPriority w:val="99"/>
    <w:semiHidden/>
    <w:unhideWhenUsed/>
    <w:rsid w:val="00A1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to.org/docs/default-source/essential-competencies/3rd-essential-competencies_ii_may-2011.pdf?sfvrsn=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to.org/docs/default-source/essential-competencies/3rd-essential-competencies_ii_may-2011.pdf?sfvrsn=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ntario.ca/laws/regulation/9602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868</Words>
  <Characters>4952</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Park</dc:creator>
  <cp:lastModifiedBy>Joe Smith-Engelhardt</cp:lastModifiedBy>
  <cp:revision>23</cp:revision>
  <cp:lastPrinted>2023-02-09T17:33:00Z</cp:lastPrinted>
  <dcterms:created xsi:type="dcterms:W3CDTF">2022-12-23T17:17:00Z</dcterms:created>
  <dcterms:modified xsi:type="dcterms:W3CDTF">2023-02-10T19:10:00Z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Producer">
    <vt:lpwstr>Adobe PDF Library 21.7.123</vt:lpwstr>
  </property>
  <property fmtid="{D5CDD505-2E9C-101B-9397-08002B2CF9AE}" pid="6" name="SourceModified">
    <vt:lpwstr>D:20210930133939</vt:lpwstr>
  </property>
</Properties>
</file>