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1E10" w14:textId="758AE89C" w:rsidR="006D65EC" w:rsidRPr="005B5D9E" w:rsidRDefault="008278A2">
      <w:pPr>
        <w:pStyle w:val="Title"/>
      </w:pPr>
      <w:r>
        <w:t>A</w:t>
      </w:r>
      <w:r w:rsidR="00001D93">
        <w:t>lternative Documents for</w:t>
      </w:r>
      <w:r>
        <w:t xml:space="preserve"> </w:t>
      </w:r>
      <w:r w:rsidR="009A2CED">
        <w:t>Registration</w:t>
      </w:r>
    </w:p>
    <w:p w14:paraId="0F70092F" w14:textId="77777777" w:rsidR="006D65EC" w:rsidRPr="005B5D9E" w:rsidRDefault="00EC08CA" w:rsidP="005B5D9E">
      <w:pPr>
        <w:pStyle w:val="BodyText"/>
        <w:rPr>
          <w:sz w:val="11"/>
        </w:rPr>
      </w:pPr>
      <w:r>
        <w:pict w14:anchorId="61388DF5">
          <v:rect id="docshape2" o:spid="_x0000_s2051" alt="" style="position:absolute;left:0;text-align:left;margin-left:1in;margin-top:7.95pt;width:468pt;height:2.3pt;z-index:-15728640;mso-wrap-edited:f;mso-width-percent:0;mso-height-percent:0;mso-wrap-distance-left:0;mso-wrap-distance-right:0;mso-position-horizontal-relative:page;mso-width-percent:0;mso-height-percent:0" fillcolor="black" stroked="f">
            <w10:wrap type="topAndBottom" anchorx="page"/>
          </v:rect>
        </w:pict>
      </w:r>
    </w:p>
    <w:p w14:paraId="581CFA7C" w14:textId="277E079E" w:rsidR="006D65EC" w:rsidRPr="005B5D9E" w:rsidRDefault="00476825" w:rsidP="005B5D9E">
      <w:pPr>
        <w:pStyle w:val="BodyText"/>
      </w:pPr>
      <w:r w:rsidRPr="005B5D9E">
        <w:t>8-</w:t>
      </w:r>
      <w:r w:rsidR="00A9627C">
        <w:t>1</w:t>
      </w:r>
      <w:r w:rsidR="00001D93">
        <w:t>1</w:t>
      </w:r>
      <w:r w:rsidRPr="005B5D9E">
        <w:t>0</w:t>
      </w:r>
    </w:p>
    <w:p w14:paraId="7A205D48" w14:textId="03E65129" w:rsidR="005B5D9E" w:rsidRPr="005B5D9E" w:rsidRDefault="00EC08CA" w:rsidP="005B5D9E">
      <w:pPr>
        <w:pStyle w:val="BodyText"/>
        <w:rPr>
          <w:sz w:val="14"/>
        </w:rPr>
      </w:pPr>
      <w:r>
        <w:pict w14:anchorId="22D71512">
          <v:rect id="docshape3" o:spid="_x0000_s2050" alt="" style="position:absolute;left:0;text-align:left;margin-left:1in;margin-top:9.45pt;width:468pt;height:.7pt;z-index:-15728128;mso-wrap-edited:f;mso-width-percent:0;mso-height-percent:0;mso-wrap-distance-left:0;mso-wrap-distance-right:0;mso-position-horizontal-relative:page;mso-width-percent:0;mso-height-percent:0" fillcolor="black" stroked="f">
            <w10:wrap type="topAndBottom" anchorx="page"/>
          </v:rect>
        </w:pict>
      </w:r>
    </w:p>
    <w:tbl>
      <w:tblPr>
        <w:tblStyle w:val="TableGrid"/>
        <w:tblW w:w="5000" w:type="pct"/>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7407"/>
      </w:tblGrid>
      <w:tr w:rsidR="005B5D9E" w:rsidRPr="005B5D9E" w14:paraId="3357B946" w14:textId="77777777" w:rsidTr="008278A2">
        <w:tc>
          <w:tcPr>
            <w:tcW w:w="2169" w:type="dxa"/>
            <w:tcMar>
              <w:top w:w="57" w:type="dxa"/>
              <w:bottom w:w="57" w:type="dxa"/>
            </w:tcMar>
          </w:tcPr>
          <w:p w14:paraId="249ECC1E" w14:textId="17DAC0FA" w:rsidR="005B5D9E" w:rsidRPr="005B5D9E" w:rsidRDefault="00001D93" w:rsidP="005B5D9E">
            <w:pPr>
              <w:pStyle w:val="BodyText"/>
              <w:ind w:left="0"/>
            </w:pPr>
            <w:r>
              <w:rPr>
                <w:b/>
              </w:rPr>
              <w:t>Section:</w:t>
            </w:r>
          </w:p>
        </w:tc>
        <w:tc>
          <w:tcPr>
            <w:tcW w:w="7407" w:type="dxa"/>
            <w:tcMar>
              <w:top w:w="57" w:type="dxa"/>
              <w:bottom w:w="57" w:type="dxa"/>
            </w:tcMar>
          </w:tcPr>
          <w:p w14:paraId="7B096AEB" w14:textId="6820C0DC" w:rsidR="005B5D9E" w:rsidRPr="005B5D9E" w:rsidRDefault="00001D93" w:rsidP="005B5D9E">
            <w:pPr>
              <w:pStyle w:val="BodyText"/>
              <w:ind w:left="0"/>
            </w:pPr>
            <w:r>
              <w:t>Registration</w:t>
            </w:r>
          </w:p>
        </w:tc>
      </w:tr>
      <w:tr w:rsidR="005B5D9E" w:rsidRPr="005B5D9E" w14:paraId="191CDC8E" w14:textId="77777777" w:rsidTr="008278A2">
        <w:tc>
          <w:tcPr>
            <w:tcW w:w="2169" w:type="dxa"/>
            <w:tcMar>
              <w:top w:w="57" w:type="dxa"/>
              <w:bottom w:w="57" w:type="dxa"/>
            </w:tcMar>
          </w:tcPr>
          <w:p w14:paraId="476B8EAB" w14:textId="7AA9619D" w:rsidR="005B5D9E" w:rsidRPr="005B5D9E" w:rsidRDefault="00001D93" w:rsidP="005B5D9E">
            <w:pPr>
              <w:pStyle w:val="BodyText"/>
              <w:ind w:left="0"/>
            </w:pPr>
            <w:r>
              <w:rPr>
                <w:b/>
              </w:rPr>
              <w:t>Applies to</w:t>
            </w:r>
            <w:r w:rsidR="005B5D9E" w:rsidRPr="005B5D9E">
              <w:rPr>
                <w:b/>
              </w:rPr>
              <w:t>:</w:t>
            </w:r>
          </w:p>
        </w:tc>
        <w:tc>
          <w:tcPr>
            <w:tcW w:w="7407" w:type="dxa"/>
            <w:tcMar>
              <w:top w:w="57" w:type="dxa"/>
              <w:bottom w:w="57" w:type="dxa"/>
            </w:tcMar>
          </w:tcPr>
          <w:p w14:paraId="044D009B" w14:textId="641F373F" w:rsidR="005B5D9E" w:rsidRPr="005B5D9E" w:rsidRDefault="00001D93" w:rsidP="009A2CED">
            <w:pPr>
              <w:pStyle w:val="BodyText"/>
              <w:ind w:left="0"/>
            </w:pPr>
            <w:r>
              <w:t>All applicants for all classes of registration</w:t>
            </w:r>
          </w:p>
        </w:tc>
      </w:tr>
      <w:tr w:rsidR="00001D93" w:rsidRPr="005B5D9E" w14:paraId="1835CFA6" w14:textId="77777777" w:rsidTr="008278A2">
        <w:tc>
          <w:tcPr>
            <w:tcW w:w="2169" w:type="dxa"/>
            <w:tcMar>
              <w:top w:w="57" w:type="dxa"/>
              <w:bottom w:w="57" w:type="dxa"/>
            </w:tcMar>
          </w:tcPr>
          <w:p w14:paraId="38F96C67" w14:textId="77317703" w:rsidR="00001D93" w:rsidRDefault="00001D93" w:rsidP="00001D93">
            <w:pPr>
              <w:pStyle w:val="BodyText"/>
              <w:ind w:left="0"/>
              <w:rPr>
                <w:b/>
              </w:rPr>
            </w:pPr>
            <w:r>
              <w:rPr>
                <w:b/>
              </w:rPr>
              <w:t>Approved by</w:t>
            </w:r>
            <w:r w:rsidRPr="005B5D9E">
              <w:rPr>
                <w:b/>
              </w:rPr>
              <w:t>:</w:t>
            </w:r>
          </w:p>
        </w:tc>
        <w:tc>
          <w:tcPr>
            <w:tcW w:w="7407" w:type="dxa"/>
            <w:tcMar>
              <w:top w:w="57" w:type="dxa"/>
              <w:bottom w:w="57" w:type="dxa"/>
            </w:tcMar>
          </w:tcPr>
          <w:p w14:paraId="53C06D81" w14:textId="02B8C3A9" w:rsidR="00001D93" w:rsidRDefault="00001D93" w:rsidP="00001D93">
            <w:pPr>
              <w:pStyle w:val="BodyText"/>
              <w:ind w:left="0"/>
            </w:pPr>
            <w:r>
              <w:t>Registration Committee</w:t>
            </w:r>
          </w:p>
        </w:tc>
      </w:tr>
      <w:tr w:rsidR="00001D93" w:rsidRPr="005B5D9E" w14:paraId="3A33F79C" w14:textId="77777777" w:rsidTr="008278A2">
        <w:tc>
          <w:tcPr>
            <w:tcW w:w="2169" w:type="dxa"/>
            <w:tcMar>
              <w:top w:w="57" w:type="dxa"/>
              <w:bottom w:w="57" w:type="dxa"/>
            </w:tcMar>
          </w:tcPr>
          <w:p w14:paraId="636BC85A" w14:textId="61736663" w:rsidR="00001D93" w:rsidRDefault="00001D93" w:rsidP="00001D93">
            <w:pPr>
              <w:pStyle w:val="BodyText"/>
              <w:ind w:left="0"/>
              <w:rPr>
                <w:b/>
              </w:rPr>
            </w:pPr>
            <w:r>
              <w:rPr>
                <w:b/>
              </w:rPr>
              <w:t>Date Established</w:t>
            </w:r>
            <w:r w:rsidRPr="005B5D9E">
              <w:rPr>
                <w:b/>
              </w:rPr>
              <w:t>:</w:t>
            </w:r>
          </w:p>
        </w:tc>
        <w:tc>
          <w:tcPr>
            <w:tcW w:w="7407" w:type="dxa"/>
            <w:tcMar>
              <w:top w:w="57" w:type="dxa"/>
              <w:bottom w:w="57" w:type="dxa"/>
            </w:tcMar>
          </w:tcPr>
          <w:p w14:paraId="38F2159D" w14:textId="30A73F49" w:rsidR="00001D93" w:rsidRDefault="00001D93" w:rsidP="00001D93">
            <w:pPr>
              <w:pStyle w:val="BodyText"/>
              <w:ind w:left="0"/>
            </w:pPr>
            <w:r>
              <w:t>May 2009</w:t>
            </w:r>
          </w:p>
        </w:tc>
      </w:tr>
      <w:tr w:rsidR="005B5D9E" w:rsidRPr="005B5D9E" w14:paraId="5F9DD9E4" w14:textId="77777777" w:rsidTr="008278A2">
        <w:tc>
          <w:tcPr>
            <w:tcW w:w="2169" w:type="dxa"/>
            <w:tcMar>
              <w:top w:w="57" w:type="dxa"/>
              <w:bottom w:w="57" w:type="dxa"/>
            </w:tcMar>
          </w:tcPr>
          <w:p w14:paraId="0345E771" w14:textId="5A5E4461" w:rsidR="005B5D9E" w:rsidRPr="005B5D9E" w:rsidRDefault="00001D93" w:rsidP="005B5D9E">
            <w:pPr>
              <w:pStyle w:val="BodyText"/>
              <w:ind w:left="0"/>
            </w:pPr>
            <w:r>
              <w:rPr>
                <w:b/>
              </w:rPr>
              <w:t>Date Revised</w:t>
            </w:r>
            <w:r w:rsidR="005B5D9E" w:rsidRPr="005B5D9E">
              <w:t>:</w:t>
            </w:r>
          </w:p>
        </w:tc>
        <w:tc>
          <w:tcPr>
            <w:tcW w:w="7407" w:type="dxa"/>
            <w:tcMar>
              <w:top w:w="57" w:type="dxa"/>
              <w:bottom w:w="57" w:type="dxa"/>
            </w:tcMar>
          </w:tcPr>
          <w:p w14:paraId="2BCC81D7" w14:textId="103A50BE" w:rsidR="005B5D9E" w:rsidRPr="005B5D9E" w:rsidRDefault="00001D93" w:rsidP="005B5D9E">
            <w:pPr>
              <w:pStyle w:val="BodyText"/>
              <w:ind w:left="0"/>
            </w:pPr>
            <w:r>
              <w:t>October 2011, March 2015, October 2021</w:t>
            </w:r>
          </w:p>
        </w:tc>
      </w:tr>
    </w:tbl>
    <w:p w14:paraId="24969023" w14:textId="77777777" w:rsidR="005B5D9E" w:rsidRPr="005B5D9E" w:rsidRDefault="005B5D9E" w:rsidP="005B5D9E">
      <w:pPr>
        <w:pStyle w:val="BodyText"/>
      </w:pPr>
    </w:p>
    <w:p w14:paraId="164284B0" w14:textId="77777777" w:rsidR="006D65EC" w:rsidRPr="005B5D9E" w:rsidRDefault="006D65EC" w:rsidP="001C157E">
      <w:pPr>
        <w:pStyle w:val="BodyText"/>
        <w:ind w:left="0"/>
      </w:pPr>
    </w:p>
    <w:p w14:paraId="10E90146" w14:textId="3B857A2E" w:rsidR="006D65EC" w:rsidRPr="005B5D9E" w:rsidRDefault="00476825" w:rsidP="001C157E">
      <w:pPr>
        <w:pStyle w:val="Heading1"/>
        <w:ind w:left="0"/>
        <w:rPr>
          <w:spacing w:val="0"/>
        </w:rPr>
      </w:pPr>
      <w:r w:rsidRPr="005B5D9E">
        <w:rPr>
          <w:spacing w:val="0"/>
        </w:rPr>
        <w:t>P</w:t>
      </w:r>
      <w:r w:rsidR="00001D93">
        <w:rPr>
          <w:spacing w:val="0"/>
        </w:rPr>
        <w:t>urpose</w:t>
      </w:r>
    </w:p>
    <w:p w14:paraId="76A2B86E" w14:textId="1790DA25" w:rsidR="008278A2" w:rsidRPr="00001D93" w:rsidRDefault="00001D93" w:rsidP="00001D93">
      <w:pPr>
        <w:pStyle w:val="Heading1"/>
        <w:ind w:left="0"/>
        <w:rPr>
          <w:b w:val="0"/>
          <w:bCs w:val="0"/>
          <w:spacing w:val="0"/>
          <w:sz w:val="22"/>
          <w:szCs w:val="22"/>
        </w:rPr>
      </w:pPr>
      <w:bookmarkStart w:id="0" w:name="Principles"/>
      <w:bookmarkEnd w:id="0"/>
      <w:r w:rsidRPr="00001D93">
        <w:rPr>
          <w:b w:val="0"/>
          <w:bCs w:val="0"/>
          <w:sz w:val="22"/>
          <w:szCs w:val="22"/>
        </w:rPr>
        <w:t>This policy explains the process that the College follows when an applicant cannot meet the requirement that supporting documents be sent to the College directly from the original source (such as a school or government).</w:t>
      </w:r>
      <w:r w:rsidRPr="00001D93">
        <w:rPr>
          <w:b w:val="0"/>
          <w:bCs w:val="0"/>
          <w:sz w:val="22"/>
          <w:szCs w:val="22"/>
        </w:rPr>
        <w:br/>
      </w:r>
    </w:p>
    <w:p w14:paraId="3E71800B" w14:textId="1C0C77CA" w:rsidR="006D65EC" w:rsidRPr="005B5D9E" w:rsidRDefault="00476825" w:rsidP="001C157E">
      <w:pPr>
        <w:pStyle w:val="Heading1"/>
        <w:ind w:left="0"/>
        <w:rPr>
          <w:spacing w:val="0"/>
        </w:rPr>
      </w:pPr>
      <w:r w:rsidRPr="005B5D9E">
        <w:rPr>
          <w:spacing w:val="0"/>
        </w:rPr>
        <w:t>P</w:t>
      </w:r>
      <w:r w:rsidR="00907B5D">
        <w:rPr>
          <w:spacing w:val="0"/>
        </w:rPr>
        <w:t>rinciples</w:t>
      </w:r>
    </w:p>
    <w:p w14:paraId="7125C911" w14:textId="4D9AE9E0" w:rsidR="008278A2" w:rsidRPr="00EF4A82" w:rsidRDefault="00EF4A82" w:rsidP="00EF4A82">
      <w:pPr>
        <w:pStyle w:val="Heading1"/>
        <w:spacing w:before="120"/>
        <w:ind w:left="0"/>
        <w:rPr>
          <w:b w:val="0"/>
          <w:bCs w:val="0"/>
          <w:sz w:val="22"/>
          <w:szCs w:val="22"/>
        </w:rPr>
      </w:pPr>
      <w:bookmarkStart w:id="1" w:name="Policy"/>
      <w:bookmarkEnd w:id="1"/>
      <w:r w:rsidRPr="00EF4A82">
        <w:rPr>
          <w:b w:val="0"/>
          <w:bCs w:val="0"/>
          <w:sz w:val="22"/>
          <w:szCs w:val="22"/>
        </w:rPr>
        <w:t>Normally, the College requires that original documents be sent to the College directly from the source of the documents to support an application for registration. This may include transcripts or proof of registration in another jurisdiction. In exceptional situations, such as war, natural disaster, or political persecution, this may be extremely difficult or impossible.</w:t>
      </w:r>
    </w:p>
    <w:p w14:paraId="4B0B0D24" w14:textId="77777777" w:rsidR="00EF4A82" w:rsidRPr="00A74D6A" w:rsidRDefault="00EF4A82" w:rsidP="00EF4A82">
      <w:pPr>
        <w:pStyle w:val="Heading1"/>
        <w:spacing w:before="0"/>
        <w:ind w:left="0"/>
        <w:rPr>
          <w:b w:val="0"/>
          <w:bCs w:val="0"/>
          <w:spacing w:val="0"/>
          <w:sz w:val="22"/>
          <w:szCs w:val="22"/>
        </w:rPr>
      </w:pPr>
    </w:p>
    <w:p w14:paraId="22A77FD7" w14:textId="7629F68F" w:rsidR="00EF4A82" w:rsidRPr="00EF4A82" w:rsidRDefault="00C66FE1" w:rsidP="00EF4A82">
      <w:pPr>
        <w:pStyle w:val="Heading1"/>
        <w:ind w:left="0"/>
        <w:rPr>
          <w:spacing w:val="0"/>
        </w:rPr>
      </w:pPr>
      <w:r>
        <w:rPr>
          <w:spacing w:val="0"/>
        </w:rPr>
        <w:t>P</w:t>
      </w:r>
      <w:r w:rsidR="00EF4A82">
        <w:rPr>
          <w:spacing w:val="0"/>
        </w:rPr>
        <w:t>olicy</w:t>
      </w:r>
    </w:p>
    <w:p w14:paraId="3D81B1E9" w14:textId="77777777" w:rsidR="00EF4A82" w:rsidRDefault="00EF4A82" w:rsidP="00EF4A82">
      <w:pPr>
        <w:pStyle w:val="Default"/>
        <w:spacing w:before="120"/>
        <w:rPr>
          <w:sz w:val="22"/>
          <w:szCs w:val="22"/>
        </w:rPr>
      </w:pPr>
      <w:r>
        <w:rPr>
          <w:sz w:val="22"/>
          <w:szCs w:val="22"/>
        </w:rPr>
        <w:t xml:space="preserve">When applicants can provide persuasive evidence that they have made reasonable efforts and been unsuccessful in obtaining required documents in the required manner, they may be allowed to provide alternative proof that they have fulfilled a particular registration requirement. </w:t>
      </w:r>
    </w:p>
    <w:p w14:paraId="2E34BB26" w14:textId="77777777" w:rsidR="00EF4A82" w:rsidRDefault="00EF4A82" w:rsidP="00EF4A82">
      <w:pPr>
        <w:pStyle w:val="Default"/>
        <w:rPr>
          <w:sz w:val="22"/>
          <w:szCs w:val="22"/>
        </w:rPr>
      </w:pPr>
    </w:p>
    <w:p w14:paraId="7ECD859F" w14:textId="15D366F2" w:rsidR="00C66FE1" w:rsidRPr="00B1565F" w:rsidRDefault="00EF4A82" w:rsidP="00EF4A82">
      <w:pPr>
        <w:pStyle w:val="Default"/>
        <w:rPr>
          <w:color w:val="000000" w:themeColor="text1"/>
          <w:sz w:val="22"/>
          <w:szCs w:val="22"/>
        </w:rPr>
      </w:pPr>
      <w:r w:rsidRPr="00B1565F">
        <w:rPr>
          <w:color w:val="000000" w:themeColor="text1"/>
          <w:sz w:val="22"/>
          <w:szCs w:val="22"/>
        </w:rPr>
        <w:t xml:space="preserve">This policy is consistent with the policies of the </w:t>
      </w:r>
      <w:hyperlink r:id="rId7" w:history="1">
        <w:r w:rsidRPr="00B1565F">
          <w:rPr>
            <w:rStyle w:val="Hyperlink"/>
            <w:sz w:val="22"/>
            <w:szCs w:val="22"/>
          </w:rPr>
          <w:t>Association of Canadian Occupational Therapy Regulatory Organizations</w:t>
        </w:r>
      </w:hyperlink>
      <w:r w:rsidRPr="00B1565F">
        <w:rPr>
          <w:color w:val="000000" w:themeColor="text1"/>
          <w:sz w:val="22"/>
          <w:szCs w:val="22"/>
        </w:rPr>
        <w:t xml:space="preserve">, which administers the Substantial Equivalency Assessment System (SEAS) and </w:t>
      </w:r>
      <w:hyperlink r:id="rId8" w:history="1">
        <w:r w:rsidRPr="00B1565F">
          <w:rPr>
            <w:rStyle w:val="Hyperlink"/>
            <w:sz w:val="22"/>
            <w:szCs w:val="22"/>
          </w:rPr>
          <w:t>World Education Services</w:t>
        </w:r>
      </w:hyperlink>
      <w:r w:rsidRPr="00B1565F">
        <w:rPr>
          <w:color w:val="000000" w:themeColor="text1"/>
          <w:sz w:val="22"/>
          <w:szCs w:val="22"/>
        </w:rPr>
        <w:t>.</w:t>
      </w:r>
    </w:p>
    <w:p w14:paraId="41499E55" w14:textId="77777777" w:rsidR="00C66FE1" w:rsidRPr="00EF4A82" w:rsidRDefault="00C66FE1" w:rsidP="00EF4A82">
      <w:pPr>
        <w:pStyle w:val="Default"/>
        <w:rPr>
          <w:rFonts w:eastAsia="Arial"/>
          <w:b/>
          <w:bCs/>
          <w:color w:val="auto"/>
          <w:sz w:val="22"/>
          <w:szCs w:val="22"/>
        </w:rPr>
      </w:pPr>
      <w:bookmarkStart w:id="2" w:name="Process_for_declaring_currency"/>
      <w:bookmarkEnd w:id="2"/>
    </w:p>
    <w:p w14:paraId="6AD0A1A2" w14:textId="77777777" w:rsidR="00B1565F" w:rsidRDefault="00B1565F" w:rsidP="00B1565F">
      <w:pPr>
        <w:widowControl/>
        <w:adjustRightInd w:val="0"/>
        <w:spacing w:before="120"/>
        <w:rPr>
          <w:b/>
          <w:bCs/>
          <w:sz w:val="28"/>
          <w:szCs w:val="28"/>
        </w:rPr>
      </w:pPr>
      <w:r>
        <w:rPr>
          <w:b/>
          <w:bCs/>
          <w:sz w:val="28"/>
          <w:szCs w:val="28"/>
        </w:rPr>
        <w:t xml:space="preserve">Process for providing alternative evidence </w:t>
      </w:r>
    </w:p>
    <w:p w14:paraId="3F4233C4" w14:textId="6A20FC65" w:rsidR="00CA4A13" w:rsidRDefault="00B1565F" w:rsidP="00B1565F">
      <w:pPr>
        <w:pStyle w:val="Heading1"/>
        <w:spacing w:before="120"/>
        <w:ind w:left="0"/>
        <w:rPr>
          <w:b w:val="0"/>
          <w:bCs w:val="0"/>
          <w:sz w:val="22"/>
          <w:szCs w:val="22"/>
        </w:rPr>
      </w:pPr>
      <w:r w:rsidRPr="00B1565F">
        <w:rPr>
          <w:b w:val="0"/>
          <w:bCs w:val="0"/>
          <w:sz w:val="22"/>
          <w:szCs w:val="22"/>
        </w:rPr>
        <w:t>If an internationally educated applicant cannot provide documents required by SEAS or by World Education Services, they must contact these organizations directly and follow their policies.</w:t>
      </w:r>
    </w:p>
    <w:p w14:paraId="734E3F4E" w14:textId="77777777" w:rsidR="00B1565F" w:rsidRDefault="00B1565F" w:rsidP="00B1565F">
      <w:pPr>
        <w:pStyle w:val="Default"/>
        <w:rPr>
          <w:sz w:val="22"/>
          <w:szCs w:val="22"/>
        </w:rPr>
      </w:pPr>
    </w:p>
    <w:p w14:paraId="4356B646" w14:textId="1BDF8022" w:rsidR="00B1565F" w:rsidRDefault="00B1565F" w:rsidP="00B1565F">
      <w:pPr>
        <w:pStyle w:val="Default"/>
        <w:rPr>
          <w:sz w:val="22"/>
          <w:szCs w:val="22"/>
        </w:rPr>
      </w:pPr>
      <w:r>
        <w:rPr>
          <w:sz w:val="22"/>
          <w:szCs w:val="22"/>
        </w:rPr>
        <w:t xml:space="preserve">If applicants cannot provide documents required by the College in the manner required by the College, they must provide persuasive evidence to show why they were not able to obtain the required documents. </w:t>
      </w:r>
    </w:p>
    <w:p w14:paraId="6843684C" w14:textId="77777777" w:rsidR="00B1565F" w:rsidRDefault="00B1565F" w:rsidP="00B1565F">
      <w:pPr>
        <w:pStyle w:val="Default"/>
        <w:rPr>
          <w:sz w:val="22"/>
          <w:szCs w:val="22"/>
        </w:rPr>
      </w:pPr>
    </w:p>
    <w:p w14:paraId="4957C8C7" w14:textId="48F65982" w:rsidR="00B1565F" w:rsidRDefault="00B1565F" w:rsidP="00B1565F">
      <w:pPr>
        <w:pStyle w:val="Default"/>
        <w:rPr>
          <w:sz w:val="22"/>
          <w:szCs w:val="22"/>
        </w:rPr>
      </w:pPr>
      <w:r>
        <w:rPr>
          <w:sz w:val="22"/>
          <w:szCs w:val="22"/>
        </w:rPr>
        <w:lastRenderedPageBreak/>
        <w:t xml:space="preserve">The Registrar will request alternative evidence proving that the applicant has met the registration requirement. Depending on each case, the evidence might include one or more of the following: </w:t>
      </w:r>
    </w:p>
    <w:p w14:paraId="189DD658" w14:textId="2066E830" w:rsidR="00B1565F" w:rsidRDefault="00B1565F" w:rsidP="0058472A">
      <w:pPr>
        <w:pStyle w:val="Default"/>
        <w:numPr>
          <w:ilvl w:val="0"/>
          <w:numId w:val="29"/>
        </w:numPr>
        <w:spacing w:before="120"/>
        <w:ind w:left="714" w:hanging="357"/>
        <w:rPr>
          <w:sz w:val="22"/>
          <w:szCs w:val="22"/>
        </w:rPr>
      </w:pPr>
      <w:r>
        <w:rPr>
          <w:sz w:val="22"/>
          <w:szCs w:val="22"/>
        </w:rPr>
        <w:t xml:space="preserve">Copies of documents, provided by the applicant or directly from the appropriate sources </w:t>
      </w:r>
    </w:p>
    <w:p w14:paraId="7A349CA5" w14:textId="26E63289" w:rsidR="00B1565F" w:rsidRDefault="00B1565F" w:rsidP="0058472A">
      <w:pPr>
        <w:pStyle w:val="Default"/>
        <w:numPr>
          <w:ilvl w:val="0"/>
          <w:numId w:val="29"/>
        </w:numPr>
        <w:spacing w:before="60"/>
        <w:ind w:left="714" w:hanging="357"/>
        <w:rPr>
          <w:sz w:val="22"/>
          <w:szCs w:val="22"/>
        </w:rPr>
      </w:pPr>
      <w:r>
        <w:rPr>
          <w:sz w:val="22"/>
          <w:szCs w:val="22"/>
        </w:rPr>
        <w:t xml:space="preserve">Signed affidavits (sworn statements) attesting to requirements completed and attesting to the fact that the document is a copy of an original </w:t>
      </w:r>
    </w:p>
    <w:p w14:paraId="4F6A6C5D" w14:textId="682D74FA" w:rsidR="00B1565F" w:rsidRDefault="00B1565F" w:rsidP="0058472A">
      <w:pPr>
        <w:pStyle w:val="Default"/>
        <w:numPr>
          <w:ilvl w:val="0"/>
          <w:numId w:val="29"/>
        </w:numPr>
        <w:spacing w:before="60"/>
        <w:ind w:left="714" w:hanging="357"/>
        <w:rPr>
          <w:sz w:val="22"/>
          <w:szCs w:val="22"/>
        </w:rPr>
      </w:pPr>
      <w:r>
        <w:rPr>
          <w:sz w:val="22"/>
          <w:szCs w:val="22"/>
        </w:rPr>
        <w:t xml:space="preserve">A professional portfolio </w:t>
      </w:r>
    </w:p>
    <w:p w14:paraId="40CC0088" w14:textId="32ED9867" w:rsidR="00B1565F" w:rsidRDefault="00B1565F" w:rsidP="0058472A">
      <w:pPr>
        <w:pStyle w:val="Default"/>
        <w:numPr>
          <w:ilvl w:val="0"/>
          <w:numId w:val="29"/>
        </w:numPr>
        <w:spacing w:before="60"/>
        <w:ind w:left="714" w:hanging="357"/>
        <w:rPr>
          <w:sz w:val="22"/>
          <w:szCs w:val="22"/>
        </w:rPr>
      </w:pPr>
      <w:r>
        <w:rPr>
          <w:sz w:val="22"/>
          <w:szCs w:val="22"/>
        </w:rPr>
        <w:t xml:space="preserve">Documents from an instructor or employer </w:t>
      </w:r>
    </w:p>
    <w:p w14:paraId="6D3D2597" w14:textId="5FFC6B60" w:rsidR="00B1565F" w:rsidRDefault="00B1565F" w:rsidP="0058472A">
      <w:pPr>
        <w:pStyle w:val="Default"/>
        <w:numPr>
          <w:ilvl w:val="0"/>
          <w:numId w:val="29"/>
        </w:numPr>
        <w:spacing w:before="60"/>
        <w:ind w:left="714" w:hanging="357"/>
        <w:rPr>
          <w:sz w:val="22"/>
          <w:szCs w:val="22"/>
        </w:rPr>
      </w:pPr>
      <w:r>
        <w:rPr>
          <w:sz w:val="22"/>
          <w:szCs w:val="22"/>
        </w:rPr>
        <w:t xml:space="preserve">Education and fieldwork references or academic references </w:t>
      </w:r>
    </w:p>
    <w:p w14:paraId="5DD7F6EF" w14:textId="71B03869" w:rsidR="00B1565F" w:rsidRDefault="00B1565F" w:rsidP="0058472A">
      <w:pPr>
        <w:pStyle w:val="Default"/>
        <w:numPr>
          <w:ilvl w:val="0"/>
          <w:numId w:val="29"/>
        </w:numPr>
        <w:spacing w:before="60"/>
        <w:ind w:left="714" w:hanging="357"/>
        <w:rPr>
          <w:sz w:val="22"/>
          <w:szCs w:val="22"/>
        </w:rPr>
      </w:pPr>
      <w:r>
        <w:rPr>
          <w:sz w:val="22"/>
          <w:szCs w:val="22"/>
        </w:rPr>
        <w:t xml:space="preserve">Interviews with relevant individuals </w:t>
      </w:r>
    </w:p>
    <w:p w14:paraId="41290A03" w14:textId="1070FBA0" w:rsidR="00B1565F" w:rsidRDefault="00B1565F" w:rsidP="0058472A">
      <w:pPr>
        <w:pStyle w:val="Default"/>
        <w:numPr>
          <w:ilvl w:val="0"/>
          <w:numId w:val="29"/>
        </w:numPr>
        <w:spacing w:before="60"/>
        <w:ind w:left="714" w:hanging="357"/>
        <w:rPr>
          <w:sz w:val="22"/>
          <w:szCs w:val="22"/>
        </w:rPr>
      </w:pPr>
      <w:r>
        <w:rPr>
          <w:sz w:val="22"/>
          <w:szCs w:val="22"/>
        </w:rPr>
        <w:t xml:space="preserve">Peer assessments </w:t>
      </w:r>
    </w:p>
    <w:p w14:paraId="0E7FAE86" w14:textId="059CD77A" w:rsidR="00B1565F" w:rsidRDefault="00B1565F" w:rsidP="0058472A">
      <w:pPr>
        <w:pStyle w:val="Default"/>
        <w:numPr>
          <w:ilvl w:val="0"/>
          <w:numId w:val="29"/>
        </w:numPr>
        <w:spacing w:before="60"/>
        <w:ind w:left="714" w:hanging="357"/>
        <w:rPr>
          <w:sz w:val="22"/>
          <w:szCs w:val="22"/>
        </w:rPr>
      </w:pPr>
      <w:r>
        <w:rPr>
          <w:sz w:val="22"/>
          <w:szCs w:val="22"/>
        </w:rPr>
        <w:t xml:space="preserve">Competency assessments of prior learning or other skills. </w:t>
      </w:r>
    </w:p>
    <w:p w14:paraId="6D03070F" w14:textId="77777777" w:rsidR="001E6243" w:rsidRPr="00B1565F" w:rsidRDefault="001E6243" w:rsidP="001E6243">
      <w:pPr>
        <w:pStyle w:val="Default"/>
        <w:rPr>
          <w:sz w:val="22"/>
          <w:szCs w:val="22"/>
        </w:rPr>
      </w:pPr>
    </w:p>
    <w:p w14:paraId="1B06167B" w14:textId="758324C8" w:rsidR="00C66FE1" w:rsidRDefault="001E6243" w:rsidP="001E6243">
      <w:pPr>
        <w:pStyle w:val="Default"/>
        <w:spacing w:before="120"/>
        <w:rPr>
          <w:b/>
          <w:bCs/>
          <w:i/>
          <w:iCs/>
          <w:sz w:val="22"/>
          <w:szCs w:val="22"/>
        </w:rPr>
      </w:pPr>
      <w:r>
        <w:rPr>
          <w:b/>
          <w:bCs/>
          <w:sz w:val="28"/>
          <w:szCs w:val="28"/>
        </w:rPr>
        <w:t>Criteria for deciding if an applicant has met a requirement</w:t>
      </w:r>
    </w:p>
    <w:p w14:paraId="29BD9AA1" w14:textId="77777777" w:rsidR="001E6243" w:rsidRDefault="001E6243" w:rsidP="001E6243">
      <w:pPr>
        <w:pStyle w:val="Default"/>
        <w:spacing w:before="120"/>
        <w:rPr>
          <w:sz w:val="22"/>
          <w:szCs w:val="22"/>
        </w:rPr>
      </w:pPr>
      <w:r>
        <w:rPr>
          <w:sz w:val="22"/>
          <w:szCs w:val="22"/>
        </w:rPr>
        <w:t xml:space="preserve">To decide if an applicant has met a registration requirement when normally required documentation is missing, the Registrar must decide two things: </w:t>
      </w:r>
    </w:p>
    <w:p w14:paraId="1706D44D" w14:textId="016C6AFC" w:rsidR="001E6243" w:rsidRPr="001E6243" w:rsidRDefault="001E6243" w:rsidP="001E6243">
      <w:pPr>
        <w:pStyle w:val="Default"/>
        <w:numPr>
          <w:ilvl w:val="0"/>
          <w:numId w:val="31"/>
        </w:numPr>
        <w:spacing w:before="120"/>
        <w:ind w:left="714" w:hanging="357"/>
        <w:rPr>
          <w:sz w:val="22"/>
          <w:szCs w:val="22"/>
        </w:rPr>
      </w:pPr>
      <w:r>
        <w:rPr>
          <w:sz w:val="22"/>
          <w:szCs w:val="22"/>
        </w:rPr>
        <w:t xml:space="preserve">Did the applicant provide persuasive evidence that they made every effort to obtain the documents? If not, the Registrar will ask the applicant to make additional efforts. </w:t>
      </w:r>
    </w:p>
    <w:p w14:paraId="7D2A9730" w14:textId="54C8E4EC" w:rsidR="001E6243" w:rsidRPr="001E6243" w:rsidRDefault="001E6243" w:rsidP="001E6243">
      <w:pPr>
        <w:pStyle w:val="Default"/>
        <w:numPr>
          <w:ilvl w:val="0"/>
          <w:numId w:val="31"/>
        </w:numPr>
        <w:spacing w:before="120"/>
        <w:ind w:left="714" w:hanging="357"/>
        <w:rPr>
          <w:sz w:val="22"/>
          <w:szCs w:val="22"/>
        </w:rPr>
      </w:pPr>
      <w:r>
        <w:rPr>
          <w:sz w:val="22"/>
          <w:szCs w:val="22"/>
        </w:rPr>
        <w:t xml:space="preserve">After satisfying the Registrar that the applicant is unable to obtain the missing documentation in the required form, the Registrar must decide whether the alternative evidence shows that the applicant has met the relevant registration requirement. If yes, the Registrar will issue a certificate of registration. If no, the Registrar will refer the application to the Registration Committee, which could do any one or more of the: </w:t>
      </w:r>
    </w:p>
    <w:p w14:paraId="65F70BAA" w14:textId="03E9F9CD" w:rsidR="001E6243" w:rsidRPr="001E6243" w:rsidRDefault="001E6243" w:rsidP="001E6243">
      <w:pPr>
        <w:pStyle w:val="ListParagraph"/>
        <w:widowControl/>
        <w:numPr>
          <w:ilvl w:val="0"/>
          <w:numId w:val="32"/>
        </w:numPr>
        <w:adjustRightInd w:val="0"/>
        <w:spacing w:before="120"/>
        <w:ind w:left="1094" w:hanging="357"/>
        <w:rPr>
          <w:rFonts w:eastAsiaTheme="minorHAnsi"/>
          <w:color w:val="000000"/>
        </w:rPr>
      </w:pPr>
      <w:r w:rsidRPr="001E6243">
        <w:rPr>
          <w:rFonts w:eastAsiaTheme="minorHAnsi"/>
          <w:color w:val="000000"/>
        </w:rPr>
        <w:t xml:space="preserve">direct the Registrar to issue a certificate of registration, </w:t>
      </w:r>
    </w:p>
    <w:p w14:paraId="51876315" w14:textId="30228145" w:rsidR="001E6243" w:rsidRPr="001E6243" w:rsidRDefault="001E6243" w:rsidP="001E6243">
      <w:pPr>
        <w:pStyle w:val="ListParagraph"/>
        <w:widowControl/>
        <w:numPr>
          <w:ilvl w:val="0"/>
          <w:numId w:val="32"/>
        </w:numPr>
        <w:adjustRightInd w:val="0"/>
        <w:spacing w:before="60"/>
        <w:ind w:left="1094" w:hanging="357"/>
        <w:rPr>
          <w:rFonts w:eastAsiaTheme="minorHAnsi"/>
          <w:color w:val="000000"/>
        </w:rPr>
      </w:pPr>
      <w:r w:rsidRPr="001E6243">
        <w:rPr>
          <w:rFonts w:eastAsiaTheme="minorHAnsi"/>
          <w:color w:val="000000"/>
        </w:rPr>
        <w:t xml:space="preserve">direct the Registrar to issue a certificate of registration if the applicant successfully completes approved examinations </w:t>
      </w:r>
    </w:p>
    <w:p w14:paraId="51F0ECCD" w14:textId="3147DC06" w:rsidR="001E6243" w:rsidRPr="001E6243" w:rsidRDefault="001E6243" w:rsidP="001E6243">
      <w:pPr>
        <w:pStyle w:val="ListParagraph"/>
        <w:widowControl/>
        <w:numPr>
          <w:ilvl w:val="0"/>
          <w:numId w:val="32"/>
        </w:numPr>
        <w:adjustRightInd w:val="0"/>
        <w:spacing w:before="60"/>
        <w:ind w:left="1094" w:hanging="357"/>
        <w:rPr>
          <w:rFonts w:eastAsiaTheme="minorHAnsi"/>
          <w:color w:val="000000"/>
        </w:rPr>
      </w:pPr>
      <w:r w:rsidRPr="001E6243">
        <w:rPr>
          <w:rFonts w:eastAsiaTheme="minorHAnsi"/>
          <w:color w:val="000000"/>
        </w:rPr>
        <w:t xml:space="preserve">direct the Registrar to issue a certificate of registration if the applicant successfully completes additional specified training </w:t>
      </w:r>
    </w:p>
    <w:p w14:paraId="22B95BF3" w14:textId="7A5A4CBC" w:rsidR="001E6243" w:rsidRPr="001E6243" w:rsidRDefault="001E6243" w:rsidP="001E6243">
      <w:pPr>
        <w:pStyle w:val="ListParagraph"/>
        <w:widowControl/>
        <w:numPr>
          <w:ilvl w:val="0"/>
          <w:numId w:val="32"/>
        </w:numPr>
        <w:adjustRightInd w:val="0"/>
        <w:spacing w:before="60"/>
        <w:ind w:left="1094" w:hanging="357"/>
        <w:rPr>
          <w:rFonts w:eastAsiaTheme="minorHAnsi"/>
          <w:color w:val="000000"/>
        </w:rPr>
      </w:pPr>
      <w:r w:rsidRPr="001E6243">
        <w:rPr>
          <w:rFonts w:eastAsiaTheme="minorHAnsi"/>
          <w:color w:val="000000"/>
        </w:rPr>
        <w:t xml:space="preserve">Impose terms, conditions or limitations such as requiring a supervised period of practice (for exemptible requirements only) </w:t>
      </w:r>
    </w:p>
    <w:p w14:paraId="3C84911E" w14:textId="0D1A5709" w:rsidR="001E6243" w:rsidRPr="001E6243" w:rsidRDefault="001E6243" w:rsidP="001E6243">
      <w:pPr>
        <w:pStyle w:val="ListParagraph"/>
        <w:widowControl/>
        <w:numPr>
          <w:ilvl w:val="0"/>
          <w:numId w:val="32"/>
        </w:numPr>
        <w:adjustRightInd w:val="0"/>
        <w:spacing w:before="60"/>
        <w:ind w:left="1094" w:hanging="357"/>
        <w:rPr>
          <w:rFonts w:eastAsiaTheme="minorHAnsi"/>
          <w:color w:val="000000"/>
        </w:rPr>
      </w:pPr>
      <w:r w:rsidRPr="001E6243">
        <w:rPr>
          <w:rFonts w:eastAsiaTheme="minorHAnsi"/>
          <w:color w:val="000000"/>
        </w:rPr>
        <w:t xml:space="preserve">refuse to register the applicant. </w:t>
      </w:r>
    </w:p>
    <w:p w14:paraId="6C9E6269" w14:textId="77777777" w:rsidR="005C2AE8" w:rsidRPr="005C2AE8" w:rsidRDefault="005C2AE8" w:rsidP="005C2AE8">
      <w:pPr>
        <w:pStyle w:val="Heading1"/>
        <w:spacing w:beforeLines="120" w:before="288"/>
        <w:ind w:left="0"/>
        <w:rPr>
          <w:b w:val="0"/>
          <w:bCs w:val="0"/>
          <w:color w:val="000000" w:themeColor="text1"/>
          <w:sz w:val="22"/>
          <w:szCs w:val="22"/>
          <w:u w:val="single"/>
        </w:rPr>
      </w:pPr>
    </w:p>
    <w:sectPr w:rsidR="005C2AE8" w:rsidRPr="005C2AE8" w:rsidSect="001C157E">
      <w:headerReference w:type="default" r:id="rId9"/>
      <w:footerReference w:type="default" r:id="rId10"/>
      <w:pgSz w:w="12240" w:h="15840"/>
      <w:pgMar w:top="1440" w:right="1440" w:bottom="1440" w:left="1440" w:header="396"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D5327" w14:textId="77777777" w:rsidR="00E0489C" w:rsidRDefault="00E0489C">
      <w:r>
        <w:separator/>
      </w:r>
    </w:p>
  </w:endnote>
  <w:endnote w:type="continuationSeparator" w:id="0">
    <w:p w14:paraId="7DB392F3" w14:textId="77777777" w:rsidR="00E0489C" w:rsidRDefault="00E0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2176" w14:textId="77777777" w:rsidR="001C157E" w:rsidRPr="00272CA6" w:rsidRDefault="001C157E" w:rsidP="001C157E">
    <w:pPr>
      <w:pStyle w:val="Footer"/>
      <w:rPr>
        <w:sz w:val="18"/>
        <w:szCs w:val="18"/>
      </w:rPr>
    </w:pPr>
    <w:r w:rsidRPr="00127466">
      <w:rPr>
        <w:color w:val="0072BC"/>
        <w:sz w:val="18"/>
        <w:szCs w:val="18"/>
      </w:rPr>
      <w:t>College of Occupational Therapists of Ontario</w:t>
    </w:r>
    <w:r>
      <w:rPr>
        <w:color w:val="0072BC"/>
        <w:sz w:val="18"/>
        <w:szCs w:val="18"/>
      </w:rPr>
      <w:tab/>
    </w:r>
    <w:r>
      <w:rPr>
        <w:color w:val="0072BC"/>
        <w:sz w:val="18"/>
        <w:szCs w:val="18"/>
      </w:rPr>
      <w:tab/>
    </w:r>
    <w:r w:rsidRPr="000F348F">
      <w:rPr>
        <w:color w:val="0072BC"/>
        <w:sz w:val="18"/>
        <w:szCs w:val="18"/>
      </w:rPr>
      <w:t xml:space="preserve"> </w:t>
    </w:r>
    <w:r w:rsidRPr="00272CA6">
      <w:rPr>
        <w:sz w:val="18"/>
        <w:szCs w:val="18"/>
      </w:rPr>
      <w:t xml:space="preserve">Page </w:t>
    </w:r>
    <w:r w:rsidRPr="00272CA6">
      <w:rPr>
        <w:sz w:val="18"/>
        <w:szCs w:val="18"/>
      </w:rPr>
      <w:fldChar w:fldCharType="begin"/>
    </w:r>
    <w:r w:rsidRPr="00272CA6">
      <w:rPr>
        <w:sz w:val="18"/>
        <w:szCs w:val="18"/>
      </w:rPr>
      <w:instrText xml:space="preserve"> PAGE  \* Arabic  \* MERGEFORMAT </w:instrText>
    </w:r>
    <w:r w:rsidRPr="00272CA6">
      <w:rPr>
        <w:sz w:val="18"/>
        <w:szCs w:val="18"/>
      </w:rPr>
      <w:fldChar w:fldCharType="separate"/>
    </w:r>
    <w:r>
      <w:rPr>
        <w:sz w:val="18"/>
        <w:szCs w:val="18"/>
      </w:rPr>
      <w:t>1</w:t>
    </w:r>
    <w:r w:rsidRPr="00272CA6">
      <w:rPr>
        <w:sz w:val="18"/>
        <w:szCs w:val="18"/>
      </w:rPr>
      <w:fldChar w:fldCharType="end"/>
    </w:r>
    <w:r w:rsidRPr="00272CA6">
      <w:rPr>
        <w:sz w:val="18"/>
        <w:szCs w:val="18"/>
      </w:rPr>
      <w:t xml:space="preserve"> of </w:t>
    </w:r>
    <w:r w:rsidRPr="00272CA6">
      <w:rPr>
        <w:sz w:val="18"/>
        <w:szCs w:val="18"/>
      </w:rPr>
      <w:fldChar w:fldCharType="begin"/>
    </w:r>
    <w:r w:rsidRPr="00272CA6">
      <w:rPr>
        <w:sz w:val="18"/>
        <w:szCs w:val="18"/>
      </w:rPr>
      <w:instrText xml:space="preserve"> NUMPAGES  \* Arabic  \* MERGEFORMAT </w:instrText>
    </w:r>
    <w:r w:rsidRPr="00272CA6">
      <w:rPr>
        <w:sz w:val="18"/>
        <w:szCs w:val="18"/>
      </w:rPr>
      <w:fldChar w:fldCharType="separate"/>
    </w:r>
    <w:r>
      <w:rPr>
        <w:sz w:val="18"/>
        <w:szCs w:val="18"/>
      </w:rPr>
      <w:t>4</w:t>
    </w:r>
    <w:r w:rsidRPr="00272CA6">
      <w:rPr>
        <w:sz w:val="18"/>
        <w:szCs w:val="18"/>
      </w:rPr>
      <w:fldChar w:fldCharType="end"/>
    </w:r>
  </w:p>
  <w:p w14:paraId="1F432BDF" w14:textId="00A6A3D7" w:rsidR="006D65EC" w:rsidRDefault="006D65EC" w:rsidP="001C157E">
    <w:pPr>
      <w:pStyle w:val="BodyText"/>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D1EE2" w14:textId="77777777" w:rsidR="00E0489C" w:rsidRDefault="00E0489C">
      <w:r>
        <w:separator/>
      </w:r>
    </w:p>
  </w:footnote>
  <w:footnote w:type="continuationSeparator" w:id="0">
    <w:p w14:paraId="35A8FD74" w14:textId="77777777" w:rsidR="00E0489C" w:rsidRDefault="00E04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3B81" w14:textId="77777777" w:rsidR="001C157E" w:rsidRDefault="001C157E" w:rsidP="001C157E">
    <w:pPr>
      <w:pStyle w:val="Header"/>
      <w:ind w:left="170"/>
    </w:pPr>
    <w:bookmarkStart w:id="3" w:name="_Hlk481569233"/>
    <w:bookmarkStart w:id="4" w:name="_Hlk481569234"/>
    <w:bookmarkStart w:id="5" w:name="_Hlk481569235"/>
    <w:bookmarkStart w:id="6" w:name="_Hlk481569236"/>
    <w:bookmarkStart w:id="7" w:name="_Hlk481568154"/>
    <w:bookmarkStart w:id="8" w:name="_Hlk481568153"/>
    <w:bookmarkStart w:id="9" w:name="_Hlk481568152"/>
    <w:bookmarkStart w:id="10" w:name="_Hlk481568151"/>
    <w:bookmarkStart w:id="11" w:name="_Hlk481568076"/>
    <w:bookmarkStart w:id="12" w:name="_Hlk481568075"/>
    <w:bookmarkStart w:id="13" w:name="_Hlk72336529"/>
    <w:bookmarkStart w:id="14" w:name="_Hlk72336530"/>
    <w:bookmarkStart w:id="15" w:name="_Hlk72336531"/>
    <w:bookmarkStart w:id="16" w:name="_Hlk72336532"/>
    <w:bookmarkStart w:id="17" w:name="_Hlk72336533"/>
    <w:bookmarkStart w:id="18" w:name="_Hlk72336534"/>
  </w:p>
  <w:p w14:paraId="74B04348" w14:textId="58C47A00" w:rsidR="001C157E" w:rsidRPr="001C157E" w:rsidRDefault="001C157E" w:rsidP="001C157E">
    <w:pPr>
      <w:pStyle w:val="Header"/>
      <w:ind w:left="170"/>
    </w:pPr>
    <w:r>
      <w:rPr>
        <w:noProof/>
      </w:rPr>
      <w:drawing>
        <wp:inline distT="0" distB="0" distL="0" distR="0" wp14:anchorId="34CDB83E" wp14:editId="4EA824B5">
          <wp:extent cx="3557074" cy="37546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557074" cy="375468"/>
                  </a:xfrm>
                  <a:prstGeom prst="rect">
                    <a:avLst/>
                  </a:prstGeom>
                </pic:spPr>
              </pic:pic>
            </a:graphicData>
          </a:graphic>
        </wp:inline>
      </w:drawing>
    </w:r>
    <w:r>
      <w:br/>
    </w:r>
    <w:bookmarkEnd w:id="3"/>
    <w:bookmarkEnd w:id="4"/>
    <w:bookmarkEnd w:id="5"/>
    <w:bookmarkEnd w:id="6"/>
  </w:p>
  <w:bookmarkEnd w:id="7"/>
  <w:bookmarkEnd w:id="8"/>
  <w:bookmarkEnd w:id="9"/>
  <w:bookmarkEnd w:id="10"/>
  <w:bookmarkEnd w:id="11"/>
  <w:bookmarkEnd w:id="12"/>
  <w:bookmarkEnd w:id="13"/>
  <w:bookmarkEnd w:id="14"/>
  <w:bookmarkEnd w:id="15"/>
  <w:bookmarkEnd w:id="16"/>
  <w:bookmarkEnd w:id="17"/>
  <w:bookmarkEnd w:id="18"/>
  <w:p w14:paraId="29120EC7" w14:textId="77777777" w:rsidR="001C157E" w:rsidRPr="001C157E" w:rsidRDefault="001C157E" w:rsidP="001C157E">
    <w:pPr>
      <w:pStyle w:val="Header"/>
    </w:pPr>
  </w:p>
  <w:p w14:paraId="6927180A" w14:textId="34883B98" w:rsidR="002415BB" w:rsidRPr="001C157E" w:rsidRDefault="002415BB" w:rsidP="001C1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4B9"/>
    <w:multiLevelType w:val="hybridMultilevel"/>
    <w:tmpl w:val="45B21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03FCB"/>
    <w:multiLevelType w:val="hybridMultilevel"/>
    <w:tmpl w:val="3D7AF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F56"/>
    <w:multiLevelType w:val="hybridMultilevel"/>
    <w:tmpl w:val="3880D6E0"/>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53191"/>
    <w:multiLevelType w:val="hybridMultilevel"/>
    <w:tmpl w:val="A48E70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A3D55"/>
    <w:multiLevelType w:val="hybridMultilevel"/>
    <w:tmpl w:val="D00E370C"/>
    <w:lvl w:ilvl="0" w:tplc="04090001">
      <w:start w:val="1"/>
      <w:numFmt w:val="bullet"/>
      <w:lvlText w:val=""/>
      <w:lvlJc w:val="left"/>
      <w:pPr>
        <w:ind w:left="720" w:hanging="360"/>
      </w:pPr>
      <w:rPr>
        <w:rFonts w:ascii="Symbol" w:hAnsi="Symbol" w:hint="default"/>
      </w:rPr>
    </w:lvl>
    <w:lvl w:ilvl="1" w:tplc="C5FCC63E">
      <w:start w:val="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86014"/>
    <w:multiLevelType w:val="hybridMultilevel"/>
    <w:tmpl w:val="522CE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C4958"/>
    <w:multiLevelType w:val="hybridMultilevel"/>
    <w:tmpl w:val="D144AA96"/>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E319C"/>
    <w:multiLevelType w:val="hybridMultilevel"/>
    <w:tmpl w:val="EEB8C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11CD2"/>
    <w:multiLevelType w:val="hybridMultilevel"/>
    <w:tmpl w:val="B3987B86"/>
    <w:lvl w:ilvl="0" w:tplc="5AD2C586">
      <w:start w:val="1"/>
      <w:numFmt w:val="decimal"/>
      <w:lvlText w:val="%1."/>
      <w:lvlJc w:val="left"/>
      <w:pPr>
        <w:ind w:left="860" w:hanging="360"/>
      </w:pPr>
      <w:rPr>
        <w:rFonts w:ascii="Arial" w:eastAsia="Arial" w:hAnsi="Arial" w:cs="Arial" w:hint="default"/>
        <w:b w:val="0"/>
        <w:bCs w:val="0"/>
        <w:i w:val="0"/>
        <w:iCs w:val="0"/>
        <w:spacing w:val="-1"/>
        <w:w w:val="100"/>
        <w:sz w:val="22"/>
        <w:szCs w:val="22"/>
        <w:lang w:val="en-US" w:eastAsia="en-US" w:bidi="ar-SA"/>
      </w:rPr>
    </w:lvl>
    <w:lvl w:ilvl="1" w:tplc="287ED99E">
      <w:numFmt w:val="bullet"/>
      <w:lvlText w:val="•"/>
      <w:lvlJc w:val="left"/>
      <w:pPr>
        <w:ind w:left="860" w:hanging="361"/>
      </w:pPr>
      <w:rPr>
        <w:rFonts w:ascii="Arial" w:eastAsia="Arial" w:hAnsi="Arial" w:cs="Arial" w:hint="default"/>
        <w:b w:val="0"/>
        <w:bCs w:val="0"/>
        <w:i w:val="0"/>
        <w:iCs w:val="0"/>
        <w:w w:val="131"/>
        <w:sz w:val="22"/>
        <w:szCs w:val="22"/>
        <w:lang w:val="en-US" w:eastAsia="en-US" w:bidi="ar-SA"/>
      </w:rPr>
    </w:lvl>
    <w:lvl w:ilvl="2" w:tplc="3FF85EBC">
      <w:numFmt w:val="bullet"/>
      <w:lvlText w:val="•"/>
      <w:lvlJc w:val="left"/>
      <w:pPr>
        <w:ind w:left="2724" w:hanging="361"/>
      </w:pPr>
      <w:rPr>
        <w:rFonts w:hint="default"/>
        <w:lang w:val="en-US" w:eastAsia="en-US" w:bidi="ar-SA"/>
      </w:rPr>
    </w:lvl>
    <w:lvl w:ilvl="3" w:tplc="D3F27004">
      <w:numFmt w:val="bullet"/>
      <w:lvlText w:val="•"/>
      <w:lvlJc w:val="left"/>
      <w:pPr>
        <w:ind w:left="3656" w:hanging="361"/>
      </w:pPr>
      <w:rPr>
        <w:rFonts w:hint="default"/>
        <w:lang w:val="en-US" w:eastAsia="en-US" w:bidi="ar-SA"/>
      </w:rPr>
    </w:lvl>
    <w:lvl w:ilvl="4" w:tplc="E60A93BA">
      <w:numFmt w:val="bullet"/>
      <w:lvlText w:val="•"/>
      <w:lvlJc w:val="left"/>
      <w:pPr>
        <w:ind w:left="4588" w:hanging="361"/>
      </w:pPr>
      <w:rPr>
        <w:rFonts w:hint="default"/>
        <w:lang w:val="en-US" w:eastAsia="en-US" w:bidi="ar-SA"/>
      </w:rPr>
    </w:lvl>
    <w:lvl w:ilvl="5" w:tplc="BC7A3A8E">
      <w:numFmt w:val="bullet"/>
      <w:lvlText w:val="•"/>
      <w:lvlJc w:val="left"/>
      <w:pPr>
        <w:ind w:left="5520" w:hanging="361"/>
      </w:pPr>
      <w:rPr>
        <w:rFonts w:hint="default"/>
        <w:lang w:val="en-US" w:eastAsia="en-US" w:bidi="ar-SA"/>
      </w:rPr>
    </w:lvl>
    <w:lvl w:ilvl="6" w:tplc="E6E0BA68">
      <w:numFmt w:val="bullet"/>
      <w:lvlText w:val="•"/>
      <w:lvlJc w:val="left"/>
      <w:pPr>
        <w:ind w:left="6452" w:hanging="361"/>
      </w:pPr>
      <w:rPr>
        <w:rFonts w:hint="default"/>
        <w:lang w:val="en-US" w:eastAsia="en-US" w:bidi="ar-SA"/>
      </w:rPr>
    </w:lvl>
    <w:lvl w:ilvl="7" w:tplc="BC989410">
      <w:numFmt w:val="bullet"/>
      <w:lvlText w:val="•"/>
      <w:lvlJc w:val="left"/>
      <w:pPr>
        <w:ind w:left="7384" w:hanging="361"/>
      </w:pPr>
      <w:rPr>
        <w:rFonts w:hint="default"/>
        <w:lang w:val="en-US" w:eastAsia="en-US" w:bidi="ar-SA"/>
      </w:rPr>
    </w:lvl>
    <w:lvl w:ilvl="8" w:tplc="BB38DCCE">
      <w:numFmt w:val="bullet"/>
      <w:lvlText w:val="•"/>
      <w:lvlJc w:val="left"/>
      <w:pPr>
        <w:ind w:left="8316" w:hanging="361"/>
      </w:pPr>
      <w:rPr>
        <w:rFonts w:hint="default"/>
        <w:lang w:val="en-US" w:eastAsia="en-US" w:bidi="ar-SA"/>
      </w:rPr>
    </w:lvl>
  </w:abstractNum>
  <w:abstractNum w:abstractNumId="9" w15:restartNumberingAfterBreak="0">
    <w:nsid w:val="3F794DD1"/>
    <w:multiLevelType w:val="hybridMultilevel"/>
    <w:tmpl w:val="85021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4D21D1"/>
    <w:multiLevelType w:val="hybridMultilevel"/>
    <w:tmpl w:val="FFB8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15135F"/>
    <w:multiLevelType w:val="hybridMultilevel"/>
    <w:tmpl w:val="206C24AC"/>
    <w:lvl w:ilvl="0" w:tplc="EE42022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112F8"/>
    <w:multiLevelType w:val="hybridMultilevel"/>
    <w:tmpl w:val="E6E8F95C"/>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F3ADC"/>
    <w:multiLevelType w:val="hybridMultilevel"/>
    <w:tmpl w:val="06AE8CD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71E91"/>
    <w:multiLevelType w:val="hybridMultilevel"/>
    <w:tmpl w:val="5CC67886"/>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54A8F"/>
    <w:multiLevelType w:val="hybridMultilevel"/>
    <w:tmpl w:val="0B9C9A0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6F0954"/>
    <w:multiLevelType w:val="hybridMultilevel"/>
    <w:tmpl w:val="C8866AD8"/>
    <w:lvl w:ilvl="0" w:tplc="EE420228">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115825"/>
    <w:multiLevelType w:val="hybridMultilevel"/>
    <w:tmpl w:val="9120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A334B4"/>
    <w:multiLevelType w:val="hybridMultilevel"/>
    <w:tmpl w:val="35C413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7B5BEA"/>
    <w:multiLevelType w:val="hybridMultilevel"/>
    <w:tmpl w:val="E77C2D7A"/>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D6F0D"/>
    <w:multiLevelType w:val="hybridMultilevel"/>
    <w:tmpl w:val="264A6F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B603FC"/>
    <w:multiLevelType w:val="hybridMultilevel"/>
    <w:tmpl w:val="3A2639C2"/>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EA04B1"/>
    <w:multiLevelType w:val="hybridMultilevel"/>
    <w:tmpl w:val="6C0C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74B59"/>
    <w:multiLevelType w:val="hybridMultilevel"/>
    <w:tmpl w:val="8502118C"/>
    <w:lvl w:ilvl="0" w:tplc="773801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702090"/>
    <w:multiLevelType w:val="hybridMultilevel"/>
    <w:tmpl w:val="EE68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F14F2"/>
    <w:multiLevelType w:val="hybridMultilevel"/>
    <w:tmpl w:val="F5F0C0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1C5C42"/>
    <w:multiLevelType w:val="hybridMultilevel"/>
    <w:tmpl w:val="ABF69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E5683A"/>
    <w:multiLevelType w:val="hybridMultilevel"/>
    <w:tmpl w:val="6F36ECBA"/>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B1248"/>
    <w:multiLevelType w:val="hybridMultilevel"/>
    <w:tmpl w:val="2452D282"/>
    <w:lvl w:ilvl="0" w:tplc="EE42022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F11E38"/>
    <w:multiLevelType w:val="hybridMultilevel"/>
    <w:tmpl w:val="18DAD08C"/>
    <w:lvl w:ilvl="0" w:tplc="EE42022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3D0FE7"/>
    <w:multiLevelType w:val="hybridMultilevel"/>
    <w:tmpl w:val="798EC5E8"/>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9729DD"/>
    <w:multiLevelType w:val="hybridMultilevel"/>
    <w:tmpl w:val="7006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006169">
    <w:abstractNumId w:val="8"/>
  </w:num>
  <w:num w:numId="2" w16cid:durableId="299070467">
    <w:abstractNumId w:val="19"/>
  </w:num>
  <w:num w:numId="3" w16cid:durableId="685600724">
    <w:abstractNumId w:val="21"/>
  </w:num>
  <w:num w:numId="4" w16cid:durableId="1377386019">
    <w:abstractNumId w:val="27"/>
  </w:num>
  <w:num w:numId="5" w16cid:durableId="1325091444">
    <w:abstractNumId w:val="31"/>
  </w:num>
  <w:num w:numId="6" w16cid:durableId="303436983">
    <w:abstractNumId w:val="2"/>
  </w:num>
  <w:num w:numId="7" w16cid:durableId="357705821">
    <w:abstractNumId w:val="6"/>
  </w:num>
  <w:num w:numId="8" w16cid:durableId="1358627434">
    <w:abstractNumId w:val="10"/>
  </w:num>
  <w:num w:numId="9" w16cid:durableId="1962766879">
    <w:abstractNumId w:val="24"/>
  </w:num>
  <w:num w:numId="10" w16cid:durableId="247735459">
    <w:abstractNumId w:val="14"/>
  </w:num>
  <w:num w:numId="11" w16cid:durableId="24596160">
    <w:abstractNumId w:val="22"/>
  </w:num>
  <w:num w:numId="12" w16cid:durableId="245849255">
    <w:abstractNumId w:val="30"/>
  </w:num>
  <w:num w:numId="13" w16cid:durableId="1286962300">
    <w:abstractNumId w:val="28"/>
  </w:num>
  <w:num w:numId="14" w16cid:durableId="1731804652">
    <w:abstractNumId w:val="7"/>
  </w:num>
  <w:num w:numId="15" w16cid:durableId="278145238">
    <w:abstractNumId w:val="12"/>
  </w:num>
  <w:num w:numId="16" w16cid:durableId="877861950">
    <w:abstractNumId w:val="4"/>
  </w:num>
  <w:num w:numId="17" w16cid:durableId="2146963817">
    <w:abstractNumId w:val="1"/>
  </w:num>
  <w:num w:numId="18" w16cid:durableId="594939324">
    <w:abstractNumId w:val="11"/>
  </w:num>
  <w:num w:numId="19" w16cid:durableId="1960062768">
    <w:abstractNumId w:val="0"/>
  </w:num>
  <w:num w:numId="20" w16cid:durableId="1198741544">
    <w:abstractNumId w:val="5"/>
  </w:num>
  <w:num w:numId="21" w16cid:durableId="656036654">
    <w:abstractNumId w:val="26"/>
  </w:num>
  <w:num w:numId="22" w16cid:durableId="503979283">
    <w:abstractNumId w:val="15"/>
  </w:num>
  <w:num w:numId="23" w16cid:durableId="1113943723">
    <w:abstractNumId w:val="18"/>
  </w:num>
  <w:num w:numId="24" w16cid:durableId="1168522672">
    <w:abstractNumId w:val="23"/>
  </w:num>
  <w:num w:numId="25" w16cid:durableId="289093932">
    <w:abstractNumId w:val="9"/>
  </w:num>
  <w:num w:numId="26" w16cid:durableId="652609071">
    <w:abstractNumId w:val="20"/>
  </w:num>
  <w:num w:numId="27" w16cid:durableId="138154968">
    <w:abstractNumId w:val="13"/>
  </w:num>
  <w:num w:numId="28" w16cid:durableId="2063169265">
    <w:abstractNumId w:val="17"/>
  </w:num>
  <w:num w:numId="29" w16cid:durableId="710619609">
    <w:abstractNumId w:val="29"/>
  </w:num>
  <w:num w:numId="30" w16cid:durableId="2064480574">
    <w:abstractNumId w:val="3"/>
  </w:num>
  <w:num w:numId="31" w16cid:durableId="1282956293">
    <w:abstractNumId w:val="25"/>
  </w:num>
  <w:num w:numId="32" w16cid:durableId="4773078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65EC"/>
    <w:rsid w:val="00001D93"/>
    <w:rsid w:val="00124F14"/>
    <w:rsid w:val="00127466"/>
    <w:rsid w:val="00147AEC"/>
    <w:rsid w:val="001614C2"/>
    <w:rsid w:val="00181002"/>
    <w:rsid w:val="001946C7"/>
    <w:rsid w:val="001C157E"/>
    <w:rsid w:val="001E6243"/>
    <w:rsid w:val="002301B4"/>
    <w:rsid w:val="00240777"/>
    <w:rsid w:val="002415BB"/>
    <w:rsid w:val="002C6C10"/>
    <w:rsid w:val="002E2C01"/>
    <w:rsid w:val="00331949"/>
    <w:rsid w:val="003A309C"/>
    <w:rsid w:val="00445515"/>
    <w:rsid w:val="00476825"/>
    <w:rsid w:val="0049730F"/>
    <w:rsid w:val="00511BC8"/>
    <w:rsid w:val="0058472A"/>
    <w:rsid w:val="00593730"/>
    <w:rsid w:val="005B5D9E"/>
    <w:rsid w:val="005C2AE8"/>
    <w:rsid w:val="005D4709"/>
    <w:rsid w:val="00636CED"/>
    <w:rsid w:val="00663A00"/>
    <w:rsid w:val="006D65EC"/>
    <w:rsid w:val="00787B5C"/>
    <w:rsid w:val="0081735F"/>
    <w:rsid w:val="008278A2"/>
    <w:rsid w:val="008D151C"/>
    <w:rsid w:val="008E774A"/>
    <w:rsid w:val="00907B5D"/>
    <w:rsid w:val="009A2CED"/>
    <w:rsid w:val="009A7AD8"/>
    <w:rsid w:val="009F6311"/>
    <w:rsid w:val="00A105F1"/>
    <w:rsid w:val="00A14CDD"/>
    <w:rsid w:val="00A57EB6"/>
    <w:rsid w:val="00A74D6A"/>
    <w:rsid w:val="00A906B9"/>
    <w:rsid w:val="00A9627C"/>
    <w:rsid w:val="00AD11B4"/>
    <w:rsid w:val="00B1565F"/>
    <w:rsid w:val="00B3403E"/>
    <w:rsid w:val="00B34BDF"/>
    <w:rsid w:val="00BA0F23"/>
    <w:rsid w:val="00BC0DDC"/>
    <w:rsid w:val="00C35E82"/>
    <w:rsid w:val="00C37054"/>
    <w:rsid w:val="00C66FE1"/>
    <w:rsid w:val="00C77469"/>
    <w:rsid w:val="00CA4A13"/>
    <w:rsid w:val="00CB60C0"/>
    <w:rsid w:val="00CD5703"/>
    <w:rsid w:val="00D40426"/>
    <w:rsid w:val="00D73B4C"/>
    <w:rsid w:val="00D97BC2"/>
    <w:rsid w:val="00E0489C"/>
    <w:rsid w:val="00EC08CA"/>
    <w:rsid w:val="00EF0C9D"/>
    <w:rsid w:val="00EF4A82"/>
    <w:rsid w:val="00F01E91"/>
    <w:rsid w:val="00F10F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AB2AC60"/>
  <w15:docId w15:val="{1F7CB30B-4E98-4C42-93B0-6B7386DC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2415BB"/>
    <w:pPr>
      <w:spacing w:before="92"/>
      <w:ind w:left="140"/>
      <w:outlineLvl w:val="0"/>
    </w:pPr>
    <w:rPr>
      <w:b/>
      <w:bCs/>
      <w:spacing w:val="-2"/>
      <w:sz w:val="28"/>
      <w:szCs w:val="28"/>
    </w:rPr>
  </w:style>
  <w:style w:type="paragraph" w:styleId="Heading2">
    <w:name w:val="heading 2"/>
    <w:basedOn w:val="Normal"/>
    <w:uiPriority w:val="9"/>
    <w:unhideWhenUsed/>
    <w:qFormat/>
    <w:pPr>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B5D9E"/>
    <w:pPr>
      <w:ind w:left="142"/>
    </w:pPr>
  </w:style>
  <w:style w:type="paragraph" w:styleId="Title">
    <w:name w:val="Title"/>
    <w:basedOn w:val="Normal"/>
    <w:uiPriority w:val="10"/>
    <w:qFormat/>
    <w:pPr>
      <w:spacing w:before="88"/>
      <w:ind w:left="140"/>
    </w:pPr>
    <w:rPr>
      <w:b/>
      <w:bCs/>
      <w:sz w:val="36"/>
      <w:szCs w:val="36"/>
    </w:r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2415BB"/>
    <w:pPr>
      <w:tabs>
        <w:tab w:val="center" w:pos="4680"/>
        <w:tab w:val="right" w:pos="9360"/>
      </w:tabs>
    </w:pPr>
  </w:style>
  <w:style w:type="character" w:customStyle="1" w:styleId="HeaderChar">
    <w:name w:val="Header Char"/>
    <w:basedOn w:val="DefaultParagraphFont"/>
    <w:link w:val="Header"/>
    <w:uiPriority w:val="99"/>
    <w:rsid w:val="002415BB"/>
    <w:rPr>
      <w:rFonts w:ascii="Arial" w:eastAsia="Arial" w:hAnsi="Arial" w:cs="Arial"/>
    </w:rPr>
  </w:style>
  <w:style w:type="paragraph" w:styleId="Footer">
    <w:name w:val="footer"/>
    <w:basedOn w:val="Normal"/>
    <w:link w:val="FooterChar"/>
    <w:uiPriority w:val="99"/>
    <w:unhideWhenUsed/>
    <w:rsid w:val="002415BB"/>
    <w:pPr>
      <w:tabs>
        <w:tab w:val="center" w:pos="4680"/>
        <w:tab w:val="right" w:pos="9360"/>
      </w:tabs>
    </w:pPr>
  </w:style>
  <w:style w:type="character" w:customStyle="1" w:styleId="FooterChar">
    <w:name w:val="Footer Char"/>
    <w:basedOn w:val="DefaultParagraphFont"/>
    <w:link w:val="Footer"/>
    <w:uiPriority w:val="99"/>
    <w:rsid w:val="002415BB"/>
    <w:rPr>
      <w:rFonts w:ascii="Arial" w:eastAsia="Arial" w:hAnsi="Arial" w:cs="Arial"/>
    </w:rPr>
  </w:style>
  <w:style w:type="table" w:styleId="TableGrid">
    <w:name w:val="Table Grid"/>
    <w:basedOn w:val="TableNormal"/>
    <w:uiPriority w:val="39"/>
    <w:rsid w:val="005B5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4F14"/>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A105F1"/>
    <w:rPr>
      <w:color w:val="0000FF" w:themeColor="hyperlink"/>
      <w:u w:val="single"/>
    </w:rPr>
  </w:style>
  <w:style w:type="character" w:styleId="UnresolvedMention">
    <w:name w:val="Unresolved Mention"/>
    <w:basedOn w:val="DefaultParagraphFont"/>
    <w:uiPriority w:val="99"/>
    <w:semiHidden/>
    <w:unhideWhenUsed/>
    <w:rsid w:val="00A105F1"/>
    <w:rPr>
      <w:color w:val="605E5C"/>
      <w:shd w:val="clear" w:color="auto" w:fill="E1DFDD"/>
    </w:rPr>
  </w:style>
  <w:style w:type="character" w:styleId="FollowedHyperlink">
    <w:name w:val="FollowedHyperlink"/>
    <w:basedOn w:val="DefaultParagraphFont"/>
    <w:uiPriority w:val="99"/>
    <w:semiHidden/>
    <w:unhideWhenUsed/>
    <w:rsid w:val="00A105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ogle.com/aclk?sa=l&amp;ai=DChcSEwijy9jt7Mz8AhVG8OMHHY-GC3IYABAAGgJ5bQ&amp;sig=AOD64_3f8sVMsyGAupj71W_9jfJ3sWFmTg&amp;q&amp;adurl&amp;ved=2ahUKEwiQy9Dt7Mz8AhVHrokEHS__CKIQ0Qx6BAgCEAE" TargetMode="External"/><Relationship Id="rId3" Type="http://schemas.openxmlformats.org/officeDocument/2006/relationships/settings" Target="settings.xml"/><Relationship Id="rId7" Type="http://schemas.openxmlformats.org/officeDocument/2006/relationships/hyperlink" Target="https://acotro-acor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3416</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Park</dc:creator>
  <cp:lastModifiedBy>Joe Smith-Engelhardt</cp:lastModifiedBy>
  <cp:revision>2</cp:revision>
  <cp:lastPrinted>2023-02-09T17:42:00Z</cp:lastPrinted>
  <dcterms:created xsi:type="dcterms:W3CDTF">2023-02-10T19:58:00Z</dcterms:created>
  <dcterms:modified xsi:type="dcterms:W3CDTF">2023-02-10T19:58:00Z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Acrobat PDFMaker 21 for Word</vt:lpwstr>
  </property>
  <property fmtid="{D5CDD505-2E9C-101B-9397-08002B2CF9AE}" pid="4" name="LastSaved">
    <vt:filetime>2022-12-23T00:00:00Z</vt:filetime>
  </property>
  <property fmtid="{D5CDD505-2E9C-101B-9397-08002B2CF9AE}" pid="5" name="Producer">
    <vt:lpwstr>Adobe PDF Library 21.7.123</vt:lpwstr>
  </property>
  <property fmtid="{D5CDD505-2E9C-101B-9397-08002B2CF9AE}" pid="6" name="SourceModified">
    <vt:lpwstr>D:20210930133939</vt:lpwstr>
  </property>
</Properties>
</file>